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bookmarkStart w:id="0" w:name="_GoBack"/>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line="440" w:lineRule="exact"/>
        <w:jc w:val="center"/>
        <w:outlineLvl w:val="1"/>
        <w:rPr>
          <w:rFonts w:hint="eastAsia" w:ascii="黑体" w:hAnsi="黑体" w:eastAsia="黑体"/>
          <w:color w:val="auto"/>
          <w:kern w:val="0"/>
          <w:sz w:val="36"/>
          <w:szCs w:val="32"/>
          <w:highlight w:val="none"/>
        </w:rPr>
      </w:pPr>
      <w:r>
        <w:rPr>
          <w:rFonts w:hint="eastAsia" w:ascii="方正小标宋_GBK" w:eastAsia="方正小标宋_GBK"/>
          <w:color w:val="auto"/>
          <w:sz w:val="44"/>
          <w:highlight w:val="none"/>
        </w:rPr>
        <w:t>呼图壁县残疾人联合会202</w:t>
      </w:r>
      <w:r>
        <w:rPr>
          <w:rFonts w:hint="eastAsia" w:ascii="方正小标宋_GBK" w:eastAsia="方正小标宋_GBK"/>
          <w:color w:val="auto"/>
          <w:sz w:val="44"/>
          <w:highlight w:val="none"/>
          <w:lang w:val="en-US" w:eastAsia="zh-CN"/>
        </w:rPr>
        <w:t>4</w:t>
      </w:r>
      <w:r>
        <w:rPr>
          <w:rFonts w:hint="eastAsia" w:ascii="方正小标宋_GBK" w:eastAsia="方正小标宋_GBK"/>
          <w:color w:val="auto"/>
          <w:sz w:val="44"/>
          <w:highlight w:val="none"/>
        </w:rPr>
        <w:t>年度预算公开</w:t>
      </w: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呼图壁县残疾人联合会</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呼图壁县残疾人联合会</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一、呼图壁县残疾人联合会收支总体情况表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二、呼图壁县残疾人联合会收入总体情况表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三、呼图壁县残疾人联合会支出总体情况表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呼图壁县残疾人联合会预算情况说明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一、关于呼图壁县残疾人联合会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二、关于呼图壁县残疾人联合会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三、关于呼图壁县残疾人联合会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呼图壁县残疾人联合会</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呼图壁县残疾人联合会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呼图壁县残疾人联合会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呼图壁县残疾人联合会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、关于呼图壁县残疾人联合会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关于呼图壁县残疾人联合会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、关于呼图壁县残疾人联合会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、关于呼图壁县残疾人联合会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2024年呼图壁县残疾人联合会概</w:t>
      </w:r>
      <w:r>
        <w:rPr>
          <w:rFonts w:hint="eastAsia" w:ascii="黑体" w:hAnsi="黑体" w:eastAsia="黑体"/>
          <w:color w:val="auto"/>
          <w:kern w:val="0"/>
          <w:sz w:val="32"/>
          <w:szCs w:val="32"/>
          <w:highlight w:val="none"/>
        </w:rPr>
        <w:t>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60" w:lineRule="exact"/>
        <w:jc w:val="left"/>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宋体" w:eastAsia="仿宋_GB2312" w:cs="宋体"/>
          <w:color w:val="auto"/>
          <w:kern w:val="0"/>
          <w:sz w:val="32"/>
          <w:szCs w:val="32"/>
          <w:highlight w:val="none"/>
        </w:rPr>
        <w:t xml:space="preserve">呼图壁县残疾人联合会是具有代表、服务、管理三种职能:代表残疾人公共利益，维护残疾人合法权益；团结教育残疾人，为残疾人服务；履行法律赋予的职责，承担县人民政府委托的任务，管理和发展残疾人事业。为残疾人康复提供保障服务，包括残疾人康复医疗、康复护理、康复训练等业务服务；为残疾人就业提供保障服务，包括残疾人的待业调查、就业登记、职业培训等业务。 </w:t>
      </w:r>
      <w:r>
        <w:rPr>
          <w:rFonts w:hint="eastAsia" w:ascii="仿宋_GB2312" w:hAnsi="宋体" w:eastAsia="仿宋_GB2312" w:cs="宋体"/>
          <w:bCs/>
          <w:color w:val="auto"/>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firstLineChars="200"/>
        <w:jc w:val="left"/>
        <w:rPr>
          <w:rFonts w:hint="eastAsia" w:ascii="仿宋_GB2312" w:hAnsi="宋体" w:eastAsia="仿宋_GB2312" w:cs="宋体"/>
          <w:color w:val="auto"/>
          <w:kern w:val="0"/>
          <w:sz w:val="32"/>
          <w:szCs w:val="32"/>
          <w:highlight w:val="none"/>
        </w:rPr>
      </w:pPr>
      <w:r>
        <w:rPr>
          <w:rFonts w:hint="eastAsia" w:ascii="仿宋_GB2312" w:eastAsia="仿宋_GB2312"/>
          <w:color w:val="auto"/>
          <w:sz w:val="32"/>
          <w:highlight w:val="none"/>
        </w:rPr>
        <w:t>呼图壁县残疾人联合会</w:t>
      </w:r>
      <w:r>
        <w:rPr>
          <w:rFonts w:hint="eastAsia" w:ascii="仿宋_GB2312" w:hAnsi="黑体" w:eastAsia="仿宋_GB2312" w:cs="宋体"/>
          <w:bCs/>
          <w:color w:val="auto"/>
          <w:kern w:val="0"/>
          <w:sz w:val="32"/>
          <w:szCs w:val="32"/>
          <w:highlight w:val="none"/>
        </w:rPr>
        <w:t>无下</w:t>
      </w:r>
      <w:r>
        <w:rPr>
          <w:rFonts w:hint="eastAsia" w:ascii="仿宋_GB2312" w:hAnsi="黑体" w:eastAsia="仿宋_GB2312" w:cs="宋体"/>
          <w:bCs/>
          <w:color w:val="auto"/>
          <w:kern w:val="0"/>
          <w:sz w:val="32"/>
          <w:szCs w:val="32"/>
          <w:highlight w:val="none"/>
        </w:rPr>
        <w:t>属预算单位</w:t>
      </w:r>
      <w:r>
        <w:rPr>
          <w:rFonts w:hint="eastAsia" w:ascii="仿宋_GB2312" w:hAnsi="黑体" w:eastAsia="仿宋_GB2312" w:cs="宋体"/>
          <w:bCs/>
          <w:color w:val="auto"/>
          <w:kern w:val="0"/>
          <w:sz w:val="32"/>
          <w:szCs w:val="32"/>
          <w:highlight w:val="none"/>
          <w:lang w:val="en-US" w:eastAsia="zh-CN"/>
        </w:rPr>
        <w:t>,下设1个处室，分别是：残疾人康复就业服务中心。</w:t>
      </w:r>
    </w:p>
    <w:p>
      <w:pPr>
        <w:widowControl/>
        <w:spacing w:line="560" w:lineRule="exact"/>
        <w:ind w:firstLine="640"/>
        <w:jc w:val="left"/>
        <w:rPr>
          <w:rFonts w:hint="eastAsia" w:ascii="仿宋_GB2312" w:hAnsi="宋体" w:eastAsia="仿宋_GB2312" w:cs="宋体"/>
          <w:color w:val="auto"/>
          <w:kern w:val="0"/>
          <w:szCs w:val="21"/>
          <w:highlight w:val="none"/>
        </w:rPr>
      </w:pPr>
      <w:r>
        <w:rPr>
          <w:rFonts w:hint="eastAsia" w:ascii="仿宋_GB2312" w:eastAsia="仿宋_GB2312"/>
          <w:color w:val="auto"/>
          <w:sz w:val="32"/>
          <w:highlight w:val="none"/>
        </w:rPr>
        <w:t>呼图壁县残疾人联合会</w:t>
      </w:r>
      <w:r>
        <w:rPr>
          <w:rFonts w:hint="eastAsia" w:ascii="仿宋_GB2312" w:hAnsi="宋体" w:eastAsia="仿宋_GB2312" w:cs="宋体"/>
          <w:color w:val="auto"/>
          <w:kern w:val="0"/>
          <w:sz w:val="32"/>
          <w:szCs w:val="32"/>
          <w:highlight w:val="none"/>
        </w:rPr>
        <w:t>编制数9，实有人数14人，其中：在职9人，增加0人；退休5人，增加0人；离休0人，增加0人。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黑体" w:hAnsi="黑体" w:eastAsia="黑体"/>
          <w:color w:val="auto"/>
          <w:kern w:val="0"/>
          <w:sz w:val="32"/>
          <w:szCs w:val="32"/>
          <w:highlight w:val="none"/>
          <w:lang w:eastAsia="zh-CN"/>
        </w:rPr>
        <w:t>2024年呼图壁县残疾人联合会</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呼图壁县残疾人联合会</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编制单位：呼图壁县残疾人联合会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156.04</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156.04</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148.04</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240.47</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31.27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144</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8.6</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8.6</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8.6</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36.90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lang w:val="en-US" w:eastAsia="zh-CN"/>
              </w:rPr>
              <w:t>308.64</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308.64</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呼图壁县残疾人联合会</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编制单位：呼图壁县残疾人联合会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660" w:type="dxa"/>
        <w:tblInd w:w="-450" w:type="dxa"/>
        <w:tblLayout w:type="fixed"/>
        <w:tblCellMar>
          <w:top w:w="0" w:type="dxa"/>
          <w:left w:w="108" w:type="dxa"/>
          <w:bottom w:w="0" w:type="dxa"/>
          <w:right w:w="108" w:type="dxa"/>
        </w:tblCellMar>
      </w:tblPr>
      <w:tblGrid>
        <w:gridCol w:w="498"/>
        <w:gridCol w:w="420"/>
        <w:gridCol w:w="432"/>
        <w:gridCol w:w="1176"/>
        <w:gridCol w:w="720"/>
        <w:gridCol w:w="708"/>
        <w:gridCol w:w="744"/>
        <w:gridCol w:w="636"/>
        <w:gridCol w:w="360"/>
        <w:gridCol w:w="744"/>
        <w:gridCol w:w="504"/>
        <w:gridCol w:w="660"/>
        <w:gridCol w:w="420"/>
        <w:gridCol w:w="696"/>
        <w:gridCol w:w="588"/>
        <w:gridCol w:w="354"/>
      </w:tblGrid>
      <w:tr>
        <w:tblPrEx>
          <w:tblCellMar>
            <w:top w:w="0" w:type="dxa"/>
            <w:left w:w="108" w:type="dxa"/>
            <w:bottom w:w="0" w:type="dxa"/>
            <w:right w:w="108" w:type="dxa"/>
          </w:tblCellMar>
        </w:tblPrEx>
        <w:trPr>
          <w:trHeight w:val="697" w:hRule="atLeast"/>
        </w:trPr>
        <w:tc>
          <w:tcPr>
            <w:tcW w:w="135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176"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2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356"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2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96"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8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5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98"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20"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32"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176"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2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0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44"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3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6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44"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504"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6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2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96"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58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35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17" w:hRule="atLeast"/>
        </w:trPr>
        <w:tc>
          <w:tcPr>
            <w:tcW w:w="498"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208　</w:t>
            </w:r>
          </w:p>
        </w:tc>
        <w:tc>
          <w:tcPr>
            <w:tcW w:w="42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　</w:t>
            </w:r>
          </w:p>
        </w:tc>
        <w:tc>
          <w:tcPr>
            <w:tcW w:w="43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　</w:t>
            </w:r>
          </w:p>
        </w:tc>
        <w:tc>
          <w:tcPr>
            <w:tcW w:w="1176"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社会保障和就业支出</w:t>
            </w:r>
          </w:p>
        </w:tc>
        <w:tc>
          <w:tcPr>
            <w:tcW w:w="72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lang w:val="en-US" w:eastAsia="zh-CN"/>
              </w:rPr>
              <w:t>240.47</w:t>
            </w:r>
          </w:p>
        </w:tc>
        <w:tc>
          <w:tcPr>
            <w:tcW w:w="70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auto"/>
                <w:sz w:val="16"/>
                <w:szCs w:val="16"/>
                <w:highlight w:val="none"/>
                <w:lang w:val="en-US" w:eastAsia="zh-CN"/>
              </w:rPr>
              <w:t>134.87</w:t>
            </w:r>
          </w:p>
        </w:tc>
        <w:tc>
          <w:tcPr>
            <w:tcW w:w="744"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auto"/>
                <w:sz w:val="16"/>
                <w:szCs w:val="16"/>
                <w:highlight w:val="none"/>
                <w:lang w:val="en-US" w:eastAsia="zh-CN"/>
              </w:rPr>
              <w:t>134.87</w:t>
            </w:r>
          </w:p>
        </w:tc>
        <w:tc>
          <w:tcPr>
            <w:tcW w:w="636" w:type="dxa"/>
            <w:tcBorders>
              <w:top w:val="nil"/>
              <w:left w:val="nil"/>
              <w:bottom w:val="single" w:color="auto" w:sz="4" w:space="0"/>
              <w:right w:val="single" w:color="auto" w:sz="4" w:space="0"/>
            </w:tcBorders>
            <w:shd w:val="clear" w:color="000000" w:fill="FFFFFF"/>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8.00</w:t>
            </w:r>
          </w:p>
        </w:tc>
        <w:tc>
          <w:tcPr>
            <w:tcW w:w="36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p>
        </w:tc>
        <w:tc>
          <w:tcPr>
            <w:tcW w:w="744"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p>
        </w:tc>
        <w:tc>
          <w:tcPr>
            <w:tcW w:w="504"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p>
        </w:tc>
        <w:tc>
          <w:tcPr>
            <w:tcW w:w="420"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16"/>
                <w:szCs w:val="16"/>
                <w:highlight w:val="none"/>
              </w:rPr>
            </w:pPr>
          </w:p>
        </w:tc>
        <w:tc>
          <w:tcPr>
            <w:tcW w:w="696" w:type="dxa"/>
            <w:tcBorders>
              <w:top w:val="nil"/>
              <w:left w:val="single" w:color="auto" w:sz="4" w:space="0"/>
              <w:bottom w:val="single" w:color="auto" w:sz="4" w:space="0"/>
              <w:right w:val="single" w:color="auto" w:sz="4" w:space="0"/>
            </w:tcBorders>
            <w:shd w:val="clear" w:color="000000" w:fill="FFFFFF"/>
            <w:vAlign w:val="center"/>
          </w:tcPr>
          <w:p>
            <w:pPr>
              <w:jc w:val="center"/>
              <w:rPr>
                <w:rFonts w:hint="default" w:ascii="仿宋_GB2312" w:eastAsia="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97.00</w:t>
            </w:r>
          </w:p>
        </w:tc>
        <w:tc>
          <w:tcPr>
            <w:tcW w:w="588" w:type="dxa"/>
            <w:tcBorders>
              <w:top w:val="nil"/>
              <w:left w:val="single" w:color="auto" w:sz="4" w:space="0"/>
              <w:bottom w:val="single" w:color="auto" w:sz="4" w:space="0"/>
              <w:right w:val="single" w:color="auto" w:sz="4" w:space="0"/>
            </w:tcBorders>
            <w:shd w:val="clear" w:color="000000" w:fill="FFFFFF"/>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8.60</w:t>
            </w:r>
          </w:p>
        </w:tc>
        <w:tc>
          <w:tcPr>
            <w:tcW w:w="354"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208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05　</w:t>
            </w:r>
          </w:p>
        </w:tc>
        <w:tc>
          <w:tcPr>
            <w:tcW w:w="4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　</w:t>
            </w:r>
          </w:p>
        </w:tc>
        <w:tc>
          <w:tcPr>
            <w:tcW w:w="117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行政事业单位养老支出</w:t>
            </w:r>
          </w:p>
        </w:tc>
        <w:tc>
          <w:tcPr>
            <w:tcW w:w="72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lang w:val="en-US" w:eastAsia="zh-CN"/>
              </w:rPr>
              <w:t>61.95</w:t>
            </w:r>
          </w:p>
        </w:tc>
        <w:tc>
          <w:tcPr>
            <w:tcW w:w="70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auto"/>
                <w:sz w:val="16"/>
                <w:szCs w:val="16"/>
                <w:highlight w:val="none"/>
                <w:lang w:val="en-US" w:eastAsia="zh-CN"/>
              </w:rPr>
              <w:t>20.95</w:t>
            </w: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auto"/>
                <w:sz w:val="16"/>
                <w:szCs w:val="16"/>
                <w:highlight w:val="none"/>
                <w:lang w:val="en-US" w:eastAsia="zh-CN"/>
              </w:rPr>
              <w:t>20.95</w:t>
            </w:r>
          </w:p>
        </w:tc>
        <w:tc>
          <w:tcPr>
            <w:tcW w:w="63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3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696"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41.00</w:t>
            </w: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20" w:type="dxa"/>
            <w:tcBorders>
              <w:top w:val="nil"/>
              <w:left w:val="nil"/>
              <w:bottom w:val="single" w:color="auto" w:sz="4" w:space="0"/>
              <w:right w:val="single" w:color="auto" w:sz="4" w:space="0"/>
            </w:tcBorders>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32" w:type="dxa"/>
            <w:tcBorders>
              <w:top w:val="nil"/>
              <w:left w:val="nil"/>
              <w:bottom w:val="single" w:color="auto" w:sz="4" w:space="0"/>
              <w:right w:val="single" w:color="auto" w:sz="4" w:space="0"/>
            </w:tcBorders>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176"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eastAsia="zh-CN"/>
              </w:rPr>
            </w:pPr>
            <w:r>
              <w:rPr>
                <w:rFonts w:hint="eastAsia" w:ascii="仿宋_GB2312" w:hAnsi="仿宋_GB2312" w:eastAsia="仿宋_GB2312" w:cs="仿宋_GB2312"/>
                <w:color w:val="auto"/>
                <w:sz w:val="16"/>
                <w:szCs w:val="16"/>
                <w:highlight w:val="none"/>
                <w:lang w:eastAsia="zh-CN"/>
              </w:rPr>
              <w:t>行政单位离退休</w:t>
            </w:r>
          </w:p>
        </w:tc>
        <w:tc>
          <w:tcPr>
            <w:tcW w:w="720"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9.67</w:t>
            </w:r>
          </w:p>
        </w:tc>
        <w:tc>
          <w:tcPr>
            <w:tcW w:w="708"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5.67</w:t>
            </w:r>
          </w:p>
        </w:tc>
        <w:tc>
          <w:tcPr>
            <w:tcW w:w="744"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5.67</w:t>
            </w:r>
          </w:p>
        </w:tc>
        <w:tc>
          <w:tcPr>
            <w:tcW w:w="63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36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c>
          <w:tcPr>
            <w:tcW w:w="7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c>
          <w:tcPr>
            <w:tcW w:w="696"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4.00</w:t>
            </w: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20" w:type="dxa"/>
            <w:tcBorders>
              <w:top w:val="nil"/>
              <w:left w:val="nil"/>
              <w:bottom w:val="single" w:color="auto" w:sz="4" w:space="0"/>
              <w:right w:val="single" w:color="auto" w:sz="4" w:space="0"/>
            </w:tcBorders>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32" w:type="dxa"/>
            <w:tcBorders>
              <w:top w:val="nil"/>
              <w:left w:val="nil"/>
              <w:bottom w:val="single" w:color="auto" w:sz="4" w:space="0"/>
              <w:right w:val="single" w:color="auto" w:sz="4" w:space="0"/>
            </w:tcBorders>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1176"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eastAsia="zh-CN"/>
              </w:rPr>
            </w:pPr>
            <w:r>
              <w:rPr>
                <w:rFonts w:hint="eastAsia" w:ascii="仿宋_GB2312" w:hAnsi="仿宋_GB2312" w:eastAsia="仿宋_GB2312" w:cs="仿宋_GB2312"/>
                <w:color w:val="auto"/>
                <w:sz w:val="16"/>
                <w:szCs w:val="16"/>
                <w:highlight w:val="none"/>
                <w:lang w:eastAsia="zh-CN"/>
              </w:rPr>
              <w:t>事业单位离退休</w:t>
            </w:r>
          </w:p>
        </w:tc>
        <w:tc>
          <w:tcPr>
            <w:tcW w:w="720"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0.81</w:t>
            </w:r>
          </w:p>
        </w:tc>
        <w:tc>
          <w:tcPr>
            <w:tcW w:w="708"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0.81</w:t>
            </w:r>
          </w:p>
        </w:tc>
        <w:tc>
          <w:tcPr>
            <w:tcW w:w="744"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0.81</w:t>
            </w:r>
          </w:p>
        </w:tc>
        <w:tc>
          <w:tcPr>
            <w:tcW w:w="63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36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c>
          <w:tcPr>
            <w:tcW w:w="7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c>
          <w:tcPr>
            <w:tcW w:w="696"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lang w:val="en-US" w:eastAsia="zh-CN"/>
              </w:rPr>
            </w:pP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208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05　</w:t>
            </w:r>
          </w:p>
        </w:tc>
        <w:tc>
          <w:tcPr>
            <w:tcW w:w="4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05　</w:t>
            </w:r>
          </w:p>
        </w:tc>
        <w:tc>
          <w:tcPr>
            <w:tcW w:w="117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机关事业单位基本养老保险缴费支出</w:t>
            </w:r>
          </w:p>
        </w:tc>
        <w:tc>
          <w:tcPr>
            <w:tcW w:w="72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lang w:val="en-US" w:eastAsia="zh-CN"/>
              </w:rPr>
              <w:t>36.47</w:t>
            </w:r>
          </w:p>
        </w:tc>
        <w:tc>
          <w:tcPr>
            <w:tcW w:w="70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auto"/>
                <w:sz w:val="16"/>
                <w:szCs w:val="16"/>
                <w:highlight w:val="none"/>
                <w:lang w:val="en-US" w:eastAsia="zh-CN"/>
              </w:rPr>
              <w:t>.14.47</w:t>
            </w: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auto"/>
                <w:sz w:val="16"/>
                <w:szCs w:val="16"/>
                <w:highlight w:val="none"/>
                <w:lang w:val="en-US" w:eastAsia="zh-CN"/>
              </w:rPr>
              <w:t>14.47</w:t>
            </w:r>
          </w:p>
        </w:tc>
        <w:tc>
          <w:tcPr>
            <w:tcW w:w="63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3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696"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22.00</w:t>
            </w: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20" w:type="dxa"/>
            <w:tcBorders>
              <w:top w:val="nil"/>
              <w:left w:val="nil"/>
              <w:bottom w:val="single" w:color="auto" w:sz="4" w:space="0"/>
              <w:right w:val="single" w:color="auto" w:sz="4" w:space="0"/>
            </w:tcBorders>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32" w:type="dxa"/>
            <w:tcBorders>
              <w:top w:val="nil"/>
              <w:left w:val="nil"/>
              <w:bottom w:val="single" w:color="auto" w:sz="4" w:space="0"/>
              <w:right w:val="single" w:color="auto" w:sz="4" w:space="0"/>
            </w:tcBorders>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06</w:t>
            </w:r>
          </w:p>
        </w:tc>
        <w:tc>
          <w:tcPr>
            <w:tcW w:w="1176"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eastAsia="zh-CN"/>
              </w:rPr>
            </w:pPr>
            <w:r>
              <w:rPr>
                <w:rFonts w:hint="eastAsia" w:ascii="仿宋_GB2312" w:hAnsi="仿宋_GB2312" w:eastAsia="仿宋_GB2312" w:cs="仿宋_GB2312"/>
                <w:color w:val="auto"/>
                <w:sz w:val="16"/>
                <w:szCs w:val="16"/>
                <w:highlight w:val="none"/>
                <w:lang w:eastAsia="zh-CN"/>
              </w:rPr>
              <w:t>机关事业单位职业年金缴费支出</w:t>
            </w:r>
          </w:p>
        </w:tc>
        <w:tc>
          <w:tcPr>
            <w:tcW w:w="720"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15.00</w:t>
            </w:r>
          </w:p>
        </w:tc>
        <w:tc>
          <w:tcPr>
            <w:tcW w:w="70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c>
          <w:tcPr>
            <w:tcW w:w="7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c>
          <w:tcPr>
            <w:tcW w:w="63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36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c>
          <w:tcPr>
            <w:tcW w:w="7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c>
          <w:tcPr>
            <w:tcW w:w="696"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15.00</w:t>
            </w: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405"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208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11　</w:t>
            </w:r>
          </w:p>
        </w:tc>
        <w:tc>
          <w:tcPr>
            <w:tcW w:w="4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　</w:t>
            </w:r>
          </w:p>
        </w:tc>
        <w:tc>
          <w:tcPr>
            <w:tcW w:w="117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残疾人事业</w:t>
            </w:r>
          </w:p>
        </w:tc>
        <w:tc>
          <w:tcPr>
            <w:tcW w:w="72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lang w:val="en-US" w:eastAsia="zh-CN"/>
              </w:rPr>
              <w:t>178.52</w:t>
            </w:r>
          </w:p>
        </w:tc>
        <w:tc>
          <w:tcPr>
            <w:tcW w:w="70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auto"/>
                <w:sz w:val="16"/>
                <w:szCs w:val="16"/>
                <w:highlight w:val="none"/>
                <w:lang w:val="en-US" w:eastAsia="zh-CN"/>
              </w:rPr>
              <w:t>113.92</w:t>
            </w: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auto"/>
                <w:sz w:val="16"/>
                <w:szCs w:val="16"/>
                <w:highlight w:val="none"/>
                <w:lang w:val="en-US" w:eastAsia="zh-CN"/>
              </w:rPr>
              <w:t>113.92</w:t>
            </w:r>
          </w:p>
        </w:tc>
        <w:tc>
          <w:tcPr>
            <w:tcW w:w="636"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8.00</w:t>
            </w:r>
          </w:p>
        </w:tc>
        <w:tc>
          <w:tcPr>
            <w:tcW w:w="3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696"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56.00</w:t>
            </w:r>
          </w:p>
        </w:tc>
        <w:tc>
          <w:tcPr>
            <w:tcW w:w="588"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8.60</w:t>
            </w: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321"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208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11　</w:t>
            </w:r>
          </w:p>
        </w:tc>
        <w:tc>
          <w:tcPr>
            <w:tcW w:w="4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01　</w:t>
            </w:r>
          </w:p>
        </w:tc>
        <w:tc>
          <w:tcPr>
            <w:tcW w:w="117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行政运行</w:t>
            </w:r>
          </w:p>
        </w:tc>
        <w:tc>
          <w:tcPr>
            <w:tcW w:w="72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lang w:val="en-US" w:eastAsia="zh-CN"/>
              </w:rPr>
              <w:t>161.92</w:t>
            </w:r>
          </w:p>
        </w:tc>
        <w:tc>
          <w:tcPr>
            <w:tcW w:w="70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auto"/>
                <w:sz w:val="16"/>
                <w:szCs w:val="16"/>
                <w:highlight w:val="none"/>
                <w:lang w:val="en-US" w:eastAsia="zh-CN"/>
              </w:rPr>
              <w:t>105.92</w:t>
            </w: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auto"/>
                <w:sz w:val="16"/>
                <w:szCs w:val="16"/>
                <w:highlight w:val="none"/>
                <w:lang w:val="en-US" w:eastAsia="zh-CN"/>
              </w:rPr>
              <w:t>105.92</w:t>
            </w:r>
          </w:p>
        </w:tc>
        <w:tc>
          <w:tcPr>
            <w:tcW w:w="63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3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696"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56.00</w:t>
            </w: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333"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208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11　</w:t>
            </w:r>
          </w:p>
        </w:tc>
        <w:tc>
          <w:tcPr>
            <w:tcW w:w="4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04　</w:t>
            </w:r>
          </w:p>
        </w:tc>
        <w:tc>
          <w:tcPr>
            <w:tcW w:w="117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残疾人康复</w:t>
            </w:r>
          </w:p>
        </w:tc>
        <w:tc>
          <w:tcPr>
            <w:tcW w:w="72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lang w:val="en-US" w:eastAsia="zh-CN"/>
              </w:rPr>
              <w:t>8</w:t>
            </w:r>
            <w:r>
              <w:rPr>
                <w:rFonts w:hint="eastAsia" w:ascii="仿宋_GB2312" w:hAnsi="仿宋_GB2312" w:eastAsia="仿宋_GB2312" w:cs="仿宋_GB2312"/>
                <w:color w:val="auto"/>
                <w:sz w:val="16"/>
                <w:szCs w:val="16"/>
                <w:highlight w:val="none"/>
              </w:rPr>
              <w:t>.00</w:t>
            </w:r>
          </w:p>
        </w:tc>
        <w:tc>
          <w:tcPr>
            <w:tcW w:w="70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auto"/>
                <w:sz w:val="16"/>
                <w:szCs w:val="16"/>
                <w:highlight w:val="none"/>
                <w:lang w:val="en-US" w:eastAsia="zh-CN"/>
              </w:rPr>
              <w:t>8</w:t>
            </w:r>
            <w:r>
              <w:rPr>
                <w:rFonts w:hint="eastAsia" w:ascii="仿宋_GB2312" w:hAnsi="仿宋_GB2312" w:eastAsia="仿宋_GB2312" w:cs="仿宋_GB2312"/>
                <w:color w:val="auto"/>
                <w:sz w:val="16"/>
                <w:szCs w:val="16"/>
                <w:highlight w:val="none"/>
              </w:rPr>
              <w:t>.00</w:t>
            </w: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auto"/>
                <w:sz w:val="16"/>
                <w:szCs w:val="16"/>
                <w:highlight w:val="none"/>
                <w:lang w:val="en-US" w:eastAsia="zh-CN"/>
              </w:rPr>
              <w:t>8</w:t>
            </w:r>
            <w:r>
              <w:rPr>
                <w:rFonts w:hint="eastAsia" w:ascii="仿宋_GB2312" w:hAnsi="仿宋_GB2312" w:eastAsia="仿宋_GB2312" w:cs="仿宋_GB2312"/>
                <w:color w:val="auto"/>
                <w:sz w:val="16"/>
                <w:szCs w:val="16"/>
                <w:highlight w:val="none"/>
              </w:rPr>
              <w:t>.00</w:t>
            </w:r>
          </w:p>
        </w:tc>
        <w:tc>
          <w:tcPr>
            <w:tcW w:w="63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auto"/>
                <w:sz w:val="16"/>
                <w:szCs w:val="16"/>
                <w:highlight w:val="none"/>
                <w:lang w:val="en-US" w:eastAsia="zh-CN"/>
              </w:rPr>
              <w:t>8</w:t>
            </w:r>
            <w:r>
              <w:rPr>
                <w:rFonts w:hint="eastAsia" w:ascii="仿宋_GB2312" w:hAnsi="仿宋_GB2312" w:eastAsia="仿宋_GB2312" w:cs="仿宋_GB2312"/>
                <w:color w:val="auto"/>
                <w:sz w:val="16"/>
                <w:szCs w:val="16"/>
                <w:highlight w:val="none"/>
              </w:rPr>
              <w:t>.00</w:t>
            </w:r>
          </w:p>
        </w:tc>
        <w:tc>
          <w:tcPr>
            <w:tcW w:w="3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696"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333"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208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11　</w:t>
            </w:r>
          </w:p>
        </w:tc>
        <w:tc>
          <w:tcPr>
            <w:tcW w:w="4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lang w:val="en-US" w:eastAsia="zh-CN"/>
              </w:rPr>
              <w:t>05</w:t>
            </w:r>
            <w:r>
              <w:rPr>
                <w:rFonts w:hint="eastAsia" w:ascii="仿宋_GB2312" w:hAnsi="仿宋_GB2312" w:eastAsia="仿宋_GB2312" w:cs="仿宋_GB2312"/>
                <w:color w:val="auto"/>
                <w:sz w:val="16"/>
                <w:szCs w:val="16"/>
                <w:highlight w:val="none"/>
              </w:rPr>
              <w:t>　</w:t>
            </w:r>
          </w:p>
        </w:tc>
        <w:tc>
          <w:tcPr>
            <w:tcW w:w="1176"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20"/>
                <w:szCs w:val="20"/>
                <w:highlight w:val="none"/>
                <w:lang w:eastAsia="zh-CN"/>
              </w:rPr>
            </w:pPr>
            <w:r>
              <w:rPr>
                <w:rFonts w:hint="eastAsia" w:ascii="仿宋_GB2312" w:hAnsi="仿宋_GB2312" w:eastAsia="仿宋_GB2312" w:cs="仿宋_GB2312"/>
                <w:color w:val="auto"/>
                <w:sz w:val="16"/>
                <w:szCs w:val="16"/>
                <w:highlight w:val="none"/>
                <w:lang w:eastAsia="zh-CN"/>
              </w:rPr>
              <w:t>残疾人就业</w:t>
            </w:r>
          </w:p>
        </w:tc>
        <w:tc>
          <w:tcPr>
            <w:tcW w:w="72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lang w:val="en-US" w:eastAsia="zh-CN"/>
              </w:rPr>
              <w:t>8.60</w:t>
            </w:r>
          </w:p>
        </w:tc>
        <w:tc>
          <w:tcPr>
            <w:tcW w:w="70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3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3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696"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6"/>
                <w:szCs w:val="16"/>
                <w:highlight w:val="none"/>
                <w:lang w:val="en-US" w:eastAsia="zh-CN"/>
              </w:rPr>
            </w:pP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8.60</w:t>
            </w: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297"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210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　</w:t>
            </w:r>
          </w:p>
        </w:tc>
        <w:tc>
          <w:tcPr>
            <w:tcW w:w="4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　</w:t>
            </w:r>
          </w:p>
        </w:tc>
        <w:tc>
          <w:tcPr>
            <w:tcW w:w="117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卫生健康支出</w:t>
            </w:r>
          </w:p>
        </w:tc>
        <w:tc>
          <w:tcPr>
            <w:tcW w:w="720"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仿宋_GB2312" w:eastAsia="仿宋_GB2312" w:cs="仿宋_GB2312"/>
                <w:color w:val="auto"/>
                <w:sz w:val="16"/>
                <w:szCs w:val="16"/>
                <w:highlight w:val="none"/>
                <w:lang w:val="en-US" w:eastAsia="zh-CN"/>
              </w:rPr>
              <w:t>31.27</w:t>
            </w:r>
          </w:p>
        </w:tc>
        <w:tc>
          <w:tcPr>
            <w:tcW w:w="70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auto"/>
                <w:sz w:val="16"/>
                <w:szCs w:val="16"/>
                <w:highlight w:val="none"/>
                <w:lang w:val="en-US" w:eastAsia="zh-CN"/>
              </w:rPr>
              <w:t>9.27</w:t>
            </w: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auto"/>
                <w:sz w:val="16"/>
                <w:szCs w:val="16"/>
                <w:highlight w:val="none"/>
                <w:lang w:val="en-US" w:eastAsia="zh-CN"/>
              </w:rPr>
              <w:t>9.27</w:t>
            </w:r>
          </w:p>
        </w:tc>
        <w:tc>
          <w:tcPr>
            <w:tcW w:w="63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3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7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50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66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696"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22.00</w:t>
            </w: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405"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210</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11　</w:t>
            </w:r>
          </w:p>
        </w:tc>
        <w:tc>
          <w:tcPr>
            <w:tcW w:w="4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　</w:t>
            </w:r>
          </w:p>
        </w:tc>
        <w:tc>
          <w:tcPr>
            <w:tcW w:w="117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行政事业单位医疗</w:t>
            </w:r>
          </w:p>
        </w:tc>
        <w:tc>
          <w:tcPr>
            <w:tcW w:w="72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31.27</w:t>
            </w:r>
          </w:p>
        </w:tc>
        <w:tc>
          <w:tcPr>
            <w:tcW w:w="70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9.27</w:t>
            </w:r>
          </w:p>
        </w:tc>
        <w:tc>
          <w:tcPr>
            <w:tcW w:w="7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9.27</w:t>
            </w:r>
          </w:p>
        </w:tc>
        <w:tc>
          <w:tcPr>
            <w:tcW w:w="636"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36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0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6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96"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22.00</w:t>
            </w: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357"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210</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11</w:t>
            </w:r>
          </w:p>
        </w:tc>
        <w:tc>
          <w:tcPr>
            <w:tcW w:w="4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01　</w:t>
            </w:r>
          </w:p>
        </w:tc>
        <w:tc>
          <w:tcPr>
            <w:tcW w:w="117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行政单位医疗</w:t>
            </w:r>
          </w:p>
        </w:tc>
        <w:tc>
          <w:tcPr>
            <w:tcW w:w="72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15.87</w:t>
            </w:r>
          </w:p>
        </w:tc>
        <w:tc>
          <w:tcPr>
            <w:tcW w:w="70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3.87</w:t>
            </w:r>
          </w:p>
        </w:tc>
        <w:tc>
          <w:tcPr>
            <w:tcW w:w="7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3.87</w:t>
            </w:r>
          </w:p>
        </w:tc>
        <w:tc>
          <w:tcPr>
            <w:tcW w:w="636"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36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0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6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420"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96" w:type="dxa"/>
            <w:tcBorders>
              <w:top w:val="nil"/>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12.00</w:t>
            </w:r>
          </w:p>
        </w:tc>
        <w:tc>
          <w:tcPr>
            <w:tcW w:w="588"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35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369" w:hRule="atLeast"/>
        </w:trPr>
        <w:tc>
          <w:tcPr>
            <w:tcW w:w="498"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20"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32"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11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eastAsia="zh-CN"/>
              </w:rPr>
            </w:pPr>
            <w:r>
              <w:rPr>
                <w:rFonts w:hint="eastAsia" w:ascii="仿宋_GB2312" w:hAnsi="仿宋_GB2312" w:eastAsia="仿宋_GB2312" w:cs="仿宋_GB2312"/>
                <w:color w:val="auto"/>
                <w:sz w:val="16"/>
                <w:szCs w:val="16"/>
                <w:highlight w:val="none"/>
                <w:lang w:eastAsia="zh-CN"/>
              </w:rPr>
              <w:t>事业单位医疗</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3.36</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3.36</w:t>
            </w:r>
          </w:p>
        </w:tc>
        <w:tc>
          <w:tcPr>
            <w:tcW w:w="6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0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3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498"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210</w:t>
            </w:r>
          </w:p>
        </w:tc>
        <w:tc>
          <w:tcPr>
            <w:tcW w:w="4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11</w:t>
            </w:r>
          </w:p>
        </w:tc>
        <w:tc>
          <w:tcPr>
            <w:tcW w:w="432"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03　</w:t>
            </w:r>
          </w:p>
        </w:tc>
        <w:tc>
          <w:tcPr>
            <w:tcW w:w="11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公务员医疗补助</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11.99</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1.99</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1.99</w:t>
            </w:r>
          </w:p>
        </w:tc>
        <w:tc>
          <w:tcPr>
            <w:tcW w:w="6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0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3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98"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210　</w:t>
            </w:r>
          </w:p>
        </w:tc>
        <w:tc>
          <w:tcPr>
            <w:tcW w:w="4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11　</w:t>
            </w:r>
          </w:p>
        </w:tc>
        <w:tc>
          <w:tcPr>
            <w:tcW w:w="432"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99　</w:t>
            </w:r>
          </w:p>
        </w:tc>
        <w:tc>
          <w:tcPr>
            <w:tcW w:w="11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其他行政事业单位医疗支出</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lang w:val="en-US" w:eastAsia="zh-CN"/>
              </w:rPr>
              <w:t>0.05</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0.05</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0.05</w:t>
            </w:r>
          </w:p>
        </w:tc>
        <w:tc>
          <w:tcPr>
            <w:tcW w:w="6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0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323" w:hRule="atLeast"/>
        </w:trPr>
        <w:tc>
          <w:tcPr>
            <w:tcW w:w="498"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221</w:t>
            </w:r>
          </w:p>
        </w:tc>
        <w:tc>
          <w:tcPr>
            <w:tcW w:w="4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432"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11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住房保障支出</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lang w:val="en-US" w:eastAsia="zh-CN"/>
              </w:rPr>
              <w:t>36.90</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11.90</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11.90</w:t>
            </w:r>
          </w:p>
        </w:tc>
        <w:tc>
          <w:tcPr>
            <w:tcW w:w="6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0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25.00</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323" w:hRule="atLeast"/>
        </w:trPr>
        <w:tc>
          <w:tcPr>
            <w:tcW w:w="498"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221</w:t>
            </w:r>
          </w:p>
        </w:tc>
        <w:tc>
          <w:tcPr>
            <w:tcW w:w="4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02</w:t>
            </w:r>
          </w:p>
        </w:tc>
        <w:tc>
          <w:tcPr>
            <w:tcW w:w="432"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11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住房改革支出</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lang w:val="en-US" w:eastAsia="zh-CN"/>
              </w:rPr>
              <w:t>36.90</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11.90</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11.90</w:t>
            </w:r>
          </w:p>
        </w:tc>
        <w:tc>
          <w:tcPr>
            <w:tcW w:w="6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0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25.00</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287" w:hRule="atLeast"/>
        </w:trPr>
        <w:tc>
          <w:tcPr>
            <w:tcW w:w="498"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221</w:t>
            </w:r>
          </w:p>
        </w:tc>
        <w:tc>
          <w:tcPr>
            <w:tcW w:w="4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02</w:t>
            </w:r>
          </w:p>
        </w:tc>
        <w:tc>
          <w:tcPr>
            <w:tcW w:w="432"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01</w:t>
            </w:r>
          </w:p>
        </w:tc>
        <w:tc>
          <w:tcPr>
            <w:tcW w:w="117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rPr>
              <w:t>住房公积金</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lang w:val="en-US" w:eastAsia="zh-CN"/>
              </w:rPr>
              <w:t>36.90</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lang w:val="en-US" w:eastAsia="zh-CN"/>
              </w:rPr>
              <w:t>11.90</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auto"/>
                <w:sz w:val="16"/>
                <w:szCs w:val="16"/>
                <w:highlight w:val="none"/>
                <w:lang w:val="en-US" w:eastAsia="zh-CN"/>
              </w:rPr>
              <w:t>11.90</w:t>
            </w:r>
          </w:p>
        </w:tc>
        <w:tc>
          <w:tcPr>
            <w:tcW w:w="63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3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0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hAnsi="仿宋_GB2312" w:eastAsia="仿宋_GB2312" w:cs="仿宋_GB2312"/>
                <w:color w:val="auto"/>
                <w:sz w:val="16"/>
                <w:szCs w:val="16"/>
                <w:highlight w:val="none"/>
                <w:lang w:val="en-US" w:eastAsia="zh-CN"/>
              </w:rPr>
              <w:t>25.00</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343" w:hRule="atLeast"/>
        </w:trPr>
        <w:tc>
          <w:tcPr>
            <w:tcW w:w="49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6"/>
                <w:szCs w:val="16"/>
                <w:highlight w:val="none"/>
              </w:rPr>
            </w:pPr>
          </w:p>
        </w:tc>
        <w:tc>
          <w:tcPr>
            <w:tcW w:w="420"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6"/>
                <w:szCs w:val="16"/>
                <w:highlight w:val="none"/>
              </w:rPr>
            </w:pPr>
          </w:p>
        </w:tc>
        <w:tc>
          <w:tcPr>
            <w:tcW w:w="432"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6"/>
                <w:szCs w:val="16"/>
                <w:highlight w:val="none"/>
              </w:rPr>
            </w:pPr>
          </w:p>
        </w:tc>
        <w:tc>
          <w:tcPr>
            <w:tcW w:w="11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合计</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308.64</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156.04</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156.04</w:t>
            </w:r>
          </w:p>
        </w:tc>
        <w:tc>
          <w:tcPr>
            <w:tcW w:w="636"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8.00</w:t>
            </w:r>
          </w:p>
        </w:tc>
        <w:tc>
          <w:tcPr>
            <w:tcW w:w="3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0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144.00</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lang w:val="en-US" w:eastAsia="zh-CN"/>
              </w:rPr>
            </w:pPr>
          </w:p>
        </w:tc>
        <w:tc>
          <w:tcPr>
            <w:tcW w:w="3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r>
        <w:rPr>
          <w:rFonts w:hint="eastAsia" w:ascii="宋体" w:hAnsi="宋体" w:cs="宋体"/>
          <w:i w:val="0"/>
          <w:color w:val="auto"/>
          <w:kern w:val="0"/>
          <w:sz w:val="20"/>
          <w:szCs w:val="20"/>
          <w:highlight w:val="none"/>
          <w:u w:val="none"/>
          <w:lang w:val="en-US" w:eastAsia="zh-CN" w:bidi="ar"/>
        </w:rPr>
        <w:t>。；</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eastAsia="zh-CN"/>
        </w:rPr>
        <w:t>呼图壁县残疾人联合会</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呼图壁县残疾人联合会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420" w:type="dxa"/>
        <w:tblInd w:w="-240" w:type="dxa"/>
        <w:tblLayout w:type="fixed"/>
        <w:tblCellMar>
          <w:top w:w="0" w:type="dxa"/>
          <w:left w:w="108" w:type="dxa"/>
          <w:bottom w:w="0" w:type="dxa"/>
          <w:right w:w="108" w:type="dxa"/>
        </w:tblCellMar>
      </w:tblPr>
      <w:tblGrid>
        <w:gridCol w:w="468"/>
        <w:gridCol w:w="432"/>
        <w:gridCol w:w="408"/>
        <w:gridCol w:w="2530"/>
        <w:gridCol w:w="1844"/>
        <w:gridCol w:w="1845"/>
        <w:gridCol w:w="1893"/>
      </w:tblGrid>
      <w:tr>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0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3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6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32"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0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3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208　</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社会保障和就业支出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240.47</w:t>
            </w:r>
          </w:p>
        </w:tc>
        <w:tc>
          <w:tcPr>
            <w:tcW w:w="1845"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223.87</w:t>
            </w:r>
          </w:p>
        </w:tc>
        <w:tc>
          <w:tcPr>
            <w:tcW w:w="1893"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16.60</w:t>
            </w:r>
          </w:p>
        </w:tc>
      </w:tr>
      <w:tr>
        <w:tblPrEx>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208　</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05　</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行政事业单位养老支出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61.95</w:t>
            </w:r>
          </w:p>
        </w:tc>
        <w:tc>
          <w:tcPr>
            <w:tcW w:w="1845"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61.95</w:t>
            </w:r>
          </w:p>
        </w:tc>
        <w:tc>
          <w:tcPr>
            <w:tcW w:w="1893"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208</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01</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eastAsia="zh-CN"/>
              </w:rPr>
              <w:t>行政单位离退休</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9.67</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9.67</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208</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02</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eastAsia="zh-CN"/>
              </w:rPr>
              <w:t>事业单位离退休</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0.81</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0.81</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208　</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05　</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05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机关事业单位基本养老保险缴费支出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36.47</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36.47</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208</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06</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eastAsia="zh-CN"/>
              </w:rPr>
              <w:t>机关事业单位职业年金缴费支出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15.00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15.00</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208　</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11　</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残疾人事业</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178.52</w:t>
            </w:r>
          </w:p>
        </w:tc>
        <w:tc>
          <w:tcPr>
            <w:tcW w:w="1845"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161.92</w:t>
            </w:r>
          </w:p>
        </w:tc>
        <w:tc>
          <w:tcPr>
            <w:tcW w:w="1893"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16.60</w:t>
            </w:r>
          </w:p>
        </w:tc>
      </w:tr>
      <w:tr>
        <w:tblPrEx>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208　</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11　</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01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行政运行</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161.92</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161.92</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208　</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11　</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04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残疾人康复</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8</w:t>
            </w:r>
            <w:r>
              <w:rPr>
                <w:rFonts w:hint="eastAsia" w:ascii="仿宋_GB2312" w:hAnsi="仿宋_GB2312" w:eastAsia="仿宋_GB2312" w:cs="仿宋_GB2312"/>
                <w:color w:val="auto"/>
                <w:sz w:val="16"/>
                <w:szCs w:val="16"/>
                <w:highlight w:val="none"/>
              </w:rPr>
              <w:t>.00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8</w:t>
            </w:r>
            <w:r>
              <w:rPr>
                <w:rFonts w:hint="eastAsia" w:ascii="仿宋_GB2312" w:hAnsi="仿宋_GB2312" w:eastAsia="仿宋_GB2312" w:cs="仿宋_GB2312"/>
                <w:color w:val="auto"/>
                <w:sz w:val="16"/>
                <w:szCs w:val="16"/>
                <w:highlight w:val="none"/>
              </w:rPr>
              <w:t>.00</w:t>
            </w:r>
          </w:p>
        </w:tc>
      </w:tr>
      <w:tr>
        <w:tblPrEx>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208　</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11　</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05</w:t>
            </w:r>
            <w:r>
              <w:rPr>
                <w:rFonts w:hint="eastAsia" w:ascii="仿宋_GB2312" w:hAnsi="仿宋_GB2312" w:eastAsia="仿宋_GB2312" w:cs="仿宋_GB2312"/>
                <w:color w:val="auto"/>
                <w:sz w:val="16"/>
                <w:szCs w:val="16"/>
                <w:highlight w:val="none"/>
              </w:rPr>
              <w:t>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eastAsia="zh-CN"/>
              </w:rPr>
              <w:t>残疾人就业</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8.60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8.60</w:t>
            </w:r>
          </w:p>
        </w:tc>
      </w:tr>
      <w:tr>
        <w:tblPrEx>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210　</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卫生健康支出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31.27</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31.27</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210</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11　</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行政事业单位医疗</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31.27</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31.27</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210</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11</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01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行政单位医疗</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15.87</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15.87</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210</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11</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02</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eastAsia="zh-CN"/>
              </w:rPr>
              <w:t>事业单位医疗</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3.36</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3.36</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210</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11</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03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公务员医疗补助</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11.99</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11.99</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210　</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11　</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99　</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其他行政事业单位医疗支出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0.05</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0.05</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221</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住房保障支出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36.90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36.90</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221</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02</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住房改革支出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36.90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36.90</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221</w:t>
            </w:r>
          </w:p>
        </w:tc>
        <w:tc>
          <w:tcPr>
            <w:tcW w:w="432"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02</w:t>
            </w:r>
          </w:p>
        </w:tc>
        <w:tc>
          <w:tcPr>
            <w:tcW w:w="408"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01</w:t>
            </w:r>
          </w:p>
        </w:tc>
        <w:tc>
          <w:tcPr>
            <w:tcW w:w="253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住房公积金</w:t>
            </w:r>
          </w:p>
        </w:tc>
        <w:tc>
          <w:tcPr>
            <w:tcW w:w="184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36.90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36.90</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05" w:hRule="atLeast"/>
        </w:trPr>
        <w:tc>
          <w:tcPr>
            <w:tcW w:w="4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32"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08"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hAnsi="仿宋_GB2312" w:eastAsia="仿宋_GB2312" w:cs="仿宋_GB2312"/>
                <w:b/>
                <w:bCs/>
                <w:color w:val="auto"/>
                <w:sz w:val="16"/>
                <w:szCs w:val="16"/>
                <w:highlight w:val="none"/>
                <w:lang w:val="en-US" w:eastAsia="zh-CN"/>
              </w:rPr>
              <w:t>308.64</w:t>
            </w:r>
          </w:p>
        </w:tc>
        <w:tc>
          <w:tcPr>
            <w:tcW w:w="1845"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hAnsi="仿宋_GB2312" w:eastAsia="仿宋_GB2312" w:cs="仿宋_GB2312"/>
                <w:b/>
                <w:bCs/>
                <w:color w:val="auto"/>
                <w:sz w:val="16"/>
                <w:szCs w:val="16"/>
                <w:highlight w:val="none"/>
                <w:lang w:val="en-US" w:eastAsia="zh-CN"/>
              </w:rPr>
              <w:t>292.04</w:t>
            </w:r>
          </w:p>
        </w:tc>
        <w:tc>
          <w:tcPr>
            <w:tcW w:w="1893"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仿宋_GB2312" w:hAnsi="仿宋_GB2312" w:eastAsia="仿宋_GB2312" w:cs="仿宋_GB2312"/>
                <w:b/>
                <w:bCs/>
                <w:color w:val="auto"/>
                <w:sz w:val="16"/>
                <w:szCs w:val="16"/>
                <w:highlight w:val="none"/>
                <w:lang w:val="en-US" w:eastAsia="zh-CN"/>
              </w:rPr>
              <w:t>16.60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highlight w:val="none"/>
          <w:lang w:eastAsia="zh-CN"/>
        </w:rPr>
        <w:t>呼图壁县残疾人联合会</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5"/>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164.64</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164.64</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143.47</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143.47</w:t>
            </w: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9.27</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9.27</w:t>
            </w: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11.90</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11.90</w:t>
            </w: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lang w:val="en-US" w:eastAsia="zh-CN"/>
              </w:rPr>
              <w:t>164.64</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164.64</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164.64</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呼图壁县残疾人联合会</w:t>
            </w:r>
          </w:p>
        </w:tc>
        <w:tc>
          <w:tcPr>
            <w:tcW w:w="660"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6"/>
                <w:szCs w:val="16"/>
                <w:highlight w:val="none"/>
              </w:rPr>
              <w:t>208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510" w:type="dxa"/>
            <w:tcBorders>
              <w:top w:val="nil"/>
              <w:left w:val="nil"/>
              <w:bottom w:val="single" w:color="auto" w:sz="4" w:space="0"/>
              <w:right w:val="single" w:color="auto" w:sz="4" w:space="0"/>
            </w:tcBorders>
            <w:vAlign w:val="center"/>
          </w:tcPr>
          <w:p>
            <w:pPr>
              <w:jc w:val="center"/>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6"/>
                <w:szCs w:val="16"/>
                <w:highlight w:val="none"/>
              </w:rPr>
              <w:t>社会保障和就业支出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143..47</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126.87</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16.60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208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05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行政事业单位养老支出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20.95</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20.95</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208</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05</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01</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eastAsia="zh-CN"/>
              </w:rPr>
              <w:t>行政单位离退休</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5.67</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5.67</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208</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05</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02</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eastAsia="zh-CN"/>
              </w:rPr>
              <w:t>事业单位离退休</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0.81</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0.81</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208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05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05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机关事业单位基本养老保险缴费支出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14.47</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14.47</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208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11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残疾人事业</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122.52</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105.92</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16.60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208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11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01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行政运行</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105.92</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105.92</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208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11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04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残疾人康复</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8.00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8.00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208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11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05</w:t>
            </w:r>
            <w:r>
              <w:rPr>
                <w:rFonts w:hint="eastAsia" w:ascii="仿宋_GB2312" w:hAnsi="仿宋_GB2312" w:eastAsia="仿宋_GB2312" w:cs="仿宋_GB2312"/>
                <w:color w:val="auto"/>
                <w:sz w:val="16"/>
                <w:szCs w:val="16"/>
                <w:highlight w:val="none"/>
              </w:rPr>
              <w:t>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eastAsia="zh-CN"/>
              </w:rPr>
              <w:t>残疾人就业</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8.60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8.60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210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卫生健康支出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9.27</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9.27</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210</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11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行政事业单位医疗</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9.27</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9.27</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210</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11</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01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行政单位医疗</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3.87</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3.87</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11</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02</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eastAsia="zh-CN"/>
              </w:rPr>
              <w:t>事业单位医疗</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3.36</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3.36</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210</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11</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03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公务员医疗补助</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1.99</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1.99</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210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11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99　</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其他行政事业单位医疗支出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0.05</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0.05</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221</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住房保障支出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11.90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11.90</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221</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02</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住房改革支出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11.90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11.90</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221</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02</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01</w:t>
            </w:r>
          </w:p>
        </w:tc>
        <w:tc>
          <w:tcPr>
            <w:tcW w:w="251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住房公积金</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11.90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11.90</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164.64</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148.04</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16.60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rPr>
              <w:t>呼图壁县残疾人联合会</w:t>
            </w:r>
          </w:p>
        </w:tc>
        <w:tc>
          <w:tcPr>
            <w:tcW w:w="995"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工资福利支出</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136.64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136.64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rPr>
              <w:t>01</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基本工资</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37.80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37.80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02</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津贴补贴</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24.27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24.27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03</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奖金</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27.63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27.63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07</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绩效工资</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10.73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10.73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08</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机关事业单位基本养老保险</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14.47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14.47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10</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职工基本医疗保险缴费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7.23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7.23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11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公务员医疗补助缴费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1.99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1.99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12</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其他社会保障缴费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0.62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0.62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13</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住房公积金</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11.90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11.90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商品和服务支出</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4.92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4.92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办公费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0.40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0.40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07</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邮电费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0.60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0.60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13</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维修（护）费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0.30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0.30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17</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公务接待费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0.26</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28</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工会经费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1.76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1.76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公务用车运行维护费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1.60</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对个人和家庭的补助</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6.49</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6.49</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02</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退休费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5.85</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5.85</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09</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奖励金</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0.63</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0.63</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148.04</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143.12</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4.92</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fixed"/>
        <w:tblCellMar>
          <w:top w:w="0" w:type="dxa"/>
          <w:left w:w="108" w:type="dxa"/>
          <w:bottom w:w="0" w:type="dxa"/>
          <w:right w:w="108" w:type="dxa"/>
        </w:tblCellMar>
      </w:tblPr>
      <w:tblGrid>
        <w:gridCol w:w="8"/>
        <w:gridCol w:w="484"/>
        <w:gridCol w:w="432"/>
        <w:gridCol w:w="420"/>
        <w:gridCol w:w="804"/>
        <w:gridCol w:w="1464"/>
        <w:gridCol w:w="709"/>
        <w:gridCol w:w="451"/>
        <w:gridCol w:w="652"/>
        <w:gridCol w:w="588"/>
        <w:gridCol w:w="568"/>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rPr>
              <w:t>呼图壁县残疾人联合会</w:t>
            </w:r>
          </w:p>
        </w:tc>
        <w:tc>
          <w:tcPr>
            <w:tcW w:w="1103"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560"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44"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04"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64"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0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5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65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8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6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92"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32"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20"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04"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464"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0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51"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5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8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6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vAlign w:val="top"/>
          </w:tcPr>
          <w:p>
            <w:pPr>
              <w:widowControl/>
              <w:jc w:val="center"/>
              <w:outlineLvl w:val="1"/>
              <w:rPr>
                <w:rFonts w:hint="eastAsia" w:ascii="仿宋_GB2312" w:hAnsi="宋体" w:eastAsia="仿宋_GB2312"/>
                <w:color w:val="auto"/>
                <w:kern w:val="0"/>
                <w:sz w:val="18"/>
                <w:szCs w:val="18"/>
                <w:highlight w:val="none"/>
              </w:rPr>
            </w:pPr>
          </w:p>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rPr>
              <w:t>208</w:t>
            </w:r>
          </w:p>
        </w:tc>
        <w:tc>
          <w:tcPr>
            <w:tcW w:w="432" w:type="dxa"/>
            <w:vAlign w:val="top"/>
          </w:tcPr>
          <w:p>
            <w:pPr>
              <w:widowControl/>
              <w:jc w:val="center"/>
              <w:outlineLvl w:val="1"/>
              <w:rPr>
                <w:rFonts w:hint="eastAsia" w:ascii="仿宋_GB2312" w:hAnsi="宋体" w:eastAsia="仿宋_GB2312"/>
                <w:color w:val="auto"/>
                <w:kern w:val="0"/>
                <w:sz w:val="32"/>
                <w:szCs w:val="32"/>
                <w:highlight w:val="none"/>
                <w:lang w:eastAsia="zh-Hans"/>
              </w:rPr>
            </w:pPr>
          </w:p>
        </w:tc>
        <w:tc>
          <w:tcPr>
            <w:tcW w:w="420" w:type="dxa"/>
            <w:vAlign w:val="top"/>
          </w:tcPr>
          <w:p>
            <w:pPr>
              <w:widowControl/>
              <w:jc w:val="center"/>
              <w:outlineLvl w:val="1"/>
              <w:rPr>
                <w:rFonts w:ascii="仿宋_GB2312" w:hAnsi="宋体" w:eastAsia="仿宋_GB2312"/>
                <w:color w:val="auto"/>
                <w:kern w:val="0"/>
                <w:sz w:val="32"/>
                <w:szCs w:val="32"/>
                <w:highlight w:val="none"/>
              </w:rPr>
            </w:pPr>
          </w:p>
        </w:tc>
        <w:tc>
          <w:tcPr>
            <w:tcW w:w="804" w:type="dxa"/>
            <w:vAlign w:val="top"/>
          </w:tcPr>
          <w:p>
            <w:pPr>
              <w:widowControl/>
              <w:jc w:val="both"/>
              <w:outlineLvl w:val="1"/>
              <w:rPr>
                <w:rFonts w:hint="eastAsia" w:ascii="仿宋_GB2312" w:hAnsi="宋体" w:eastAsia="仿宋_GB2312"/>
                <w:color w:val="auto"/>
                <w:kern w:val="0"/>
                <w:sz w:val="18"/>
                <w:szCs w:val="18"/>
                <w:highlight w:val="none"/>
                <w:lang w:eastAsia="zh-CN"/>
              </w:rPr>
            </w:pPr>
            <w:r>
              <w:rPr>
                <w:rFonts w:hint="eastAsia" w:ascii="仿宋_GB2312" w:hAnsi="宋体" w:eastAsia="仿宋_GB2312"/>
                <w:color w:val="auto"/>
                <w:kern w:val="0"/>
                <w:sz w:val="18"/>
                <w:szCs w:val="18"/>
                <w:highlight w:val="none"/>
                <w:lang w:eastAsia="zh-CN"/>
              </w:rPr>
              <w:t>社会保障和就业支出</w:t>
            </w:r>
          </w:p>
        </w:tc>
        <w:tc>
          <w:tcPr>
            <w:tcW w:w="1464" w:type="dxa"/>
            <w:vAlign w:val="top"/>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2024年报自治区残疾人事业发展补助资金</w:t>
            </w:r>
          </w:p>
        </w:tc>
        <w:tc>
          <w:tcPr>
            <w:tcW w:w="709" w:type="dxa"/>
            <w:vAlign w:val="top"/>
          </w:tcPr>
          <w:p>
            <w:pPr>
              <w:widowControl/>
              <w:jc w:val="center"/>
              <w:outlineLvl w:val="1"/>
              <w:rPr>
                <w:rFonts w:hint="eastAsia" w:ascii="仿宋_GB2312" w:hAnsi="宋体" w:eastAsia="仿宋_GB2312"/>
                <w:color w:val="auto"/>
                <w:kern w:val="0"/>
                <w:sz w:val="18"/>
                <w:szCs w:val="18"/>
                <w:highlight w:val="none"/>
                <w:lang w:eastAsia="zh-CN"/>
              </w:rPr>
            </w:pPr>
          </w:p>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16.60</w:t>
            </w:r>
          </w:p>
        </w:tc>
        <w:tc>
          <w:tcPr>
            <w:tcW w:w="451" w:type="dxa"/>
            <w:vAlign w:val="center"/>
          </w:tcPr>
          <w:p>
            <w:pPr>
              <w:widowControl/>
              <w:jc w:val="center"/>
              <w:outlineLvl w:val="1"/>
              <w:rPr>
                <w:rFonts w:hint="eastAsia" w:ascii="仿宋_GB2312" w:hAnsi="宋体" w:eastAsia="仿宋_GB2312"/>
                <w:color w:val="auto"/>
                <w:kern w:val="0"/>
                <w:sz w:val="18"/>
                <w:szCs w:val="18"/>
                <w:highlight w:val="none"/>
                <w:lang w:eastAsia="zh-CN"/>
              </w:rPr>
            </w:pPr>
          </w:p>
        </w:tc>
        <w:tc>
          <w:tcPr>
            <w:tcW w:w="652" w:type="dxa"/>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9.85</w:t>
            </w:r>
          </w:p>
        </w:tc>
        <w:tc>
          <w:tcPr>
            <w:tcW w:w="588" w:type="dxa"/>
            <w:vAlign w:val="top"/>
          </w:tcPr>
          <w:p>
            <w:pPr>
              <w:widowControl/>
              <w:jc w:val="center"/>
              <w:outlineLvl w:val="1"/>
              <w:rPr>
                <w:rFonts w:hint="eastAsia" w:ascii="仿宋_GB2312" w:hAnsi="宋体" w:eastAsia="仿宋_GB2312"/>
                <w:color w:val="auto"/>
                <w:kern w:val="0"/>
                <w:sz w:val="18"/>
                <w:szCs w:val="18"/>
                <w:highlight w:val="none"/>
                <w:lang w:eastAsia="zh-CN"/>
              </w:rPr>
            </w:pPr>
          </w:p>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6.75</w:t>
            </w:r>
          </w:p>
        </w:tc>
        <w:tc>
          <w:tcPr>
            <w:tcW w:w="568" w:type="dxa"/>
            <w:vAlign w:val="top"/>
          </w:tcPr>
          <w:p>
            <w:pPr>
              <w:widowControl/>
              <w:jc w:val="center"/>
              <w:outlineLvl w:val="1"/>
              <w:rPr>
                <w:rFonts w:hint="eastAsia" w:ascii="仿宋_GB2312" w:hAnsi="宋体" w:eastAsia="仿宋_GB2312"/>
                <w:color w:val="auto"/>
                <w:kern w:val="0"/>
                <w:sz w:val="18"/>
                <w:szCs w:val="18"/>
                <w:highlight w:val="none"/>
                <w:lang w:eastAsia="zh-CN"/>
              </w:rPr>
            </w:pPr>
          </w:p>
        </w:tc>
        <w:tc>
          <w:tcPr>
            <w:tcW w:w="618" w:type="dxa"/>
            <w:gridSpan w:val="2"/>
            <w:vAlign w:val="top"/>
          </w:tcPr>
          <w:p>
            <w:pPr>
              <w:widowControl/>
              <w:jc w:val="both"/>
              <w:outlineLvl w:val="1"/>
              <w:rPr>
                <w:rFonts w:hint="eastAsia" w:ascii="仿宋_GB2312" w:hAnsi="宋体" w:eastAsia="仿宋_GB2312"/>
                <w:color w:val="auto"/>
                <w:kern w:val="0"/>
                <w:sz w:val="18"/>
                <w:szCs w:val="18"/>
                <w:highlight w:val="none"/>
                <w:lang w:eastAsia="zh-CN"/>
              </w:rPr>
            </w:pPr>
            <w:r>
              <w:rPr>
                <w:rFonts w:hint="eastAsia" w:ascii="仿宋_GB2312" w:hAnsi="宋体" w:eastAsia="仿宋_GB2312"/>
                <w:color w:val="auto"/>
                <w:kern w:val="0"/>
                <w:sz w:val="18"/>
                <w:szCs w:val="18"/>
                <w:highlight w:val="none"/>
                <w:lang w:eastAsia="zh-CN"/>
              </w:rPr>
              <w:t>　</w:t>
            </w:r>
          </w:p>
        </w:tc>
        <w:tc>
          <w:tcPr>
            <w:tcW w:w="419" w:type="dxa"/>
            <w:vAlign w:val="top"/>
          </w:tcPr>
          <w:p>
            <w:pPr>
              <w:widowControl/>
              <w:jc w:val="both"/>
              <w:outlineLvl w:val="1"/>
              <w:rPr>
                <w:rFonts w:hint="eastAsia" w:ascii="仿宋_GB2312" w:hAnsi="宋体" w:eastAsia="仿宋_GB2312"/>
                <w:color w:val="auto"/>
                <w:kern w:val="0"/>
                <w:sz w:val="18"/>
                <w:szCs w:val="18"/>
                <w:highlight w:val="none"/>
                <w:lang w:eastAsia="zh-CN"/>
              </w:rPr>
            </w:pPr>
            <w:r>
              <w:rPr>
                <w:rFonts w:hint="eastAsia" w:ascii="仿宋_GB2312" w:hAnsi="宋体" w:eastAsia="仿宋_GB2312"/>
                <w:color w:val="auto"/>
                <w:kern w:val="0"/>
                <w:sz w:val="18"/>
                <w:szCs w:val="18"/>
                <w:highlight w:val="none"/>
                <w:lang w:eastAsia="zh-CN"/>
              </w:rPr>
              <w:t>　</w:t>
            </w:r>
          </w:p>
        </w:tc>
        <w:tc>
          <w:tcPr>
            <w:tcW w:w="618" w:type="dxa"/>
            <w:vAlign w:val="top"/>
          </w:tcPr>
          <w:p>
            <w:pPr>
              <w:widowControl/>
              <w:jc w:val="both"/>
              <w:outlineLvl w:val="1"/>
              <w:rPr>
                <w:rFonts w:hint="eastAsia" w:ascii="仿宋_GB2312" w:hAnsi="宋体" w:eastAsia="仿宋_GB2312"/>
                <w:color w:val="auto"/>
                <w:kern w:val="0"/>
                <w:sz w:val="18"/>
                <w:szCs w:val="18"/>
                <w:highlight w:val="none"/>
                <w:lang w:eastAsia="zh-CN"/>
              </w:rPr>
            </w:pPr>
            <w:r>
              <w:rPr>
                <w:rFonts w:hint="eastAsia" w:ascii="仿宋_GB2312" w:hAnsi="宋体" w:eastAsia="仿宋_GB2312"/>
                <w:color w:val="auto"/>
                <w:kern w:val="0"/>
                <w:sz w:val="18"/>
                <w:szCs w:val="18"/>
                <w:highlight w:val="none"/>
                <w:lang w:eastAsia="zh-CN"/>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lang w:val="en-US" w:eastAsia="zh-CN"/>
              </w:rPr>
              <w:t>208</w:t>
            </w:r>
          </w:p>
        </w:tc>
        <w:tc>
          <w:tcPr>
            <w:tcW w:w="432" w:type="dxa"/>
            <w:vAlign w:val="top"/>
          </w:tcPr>
          <w:p>
            <w:pPr>
              <w:widowControl/>
              <w:jc w:val="center"/>
              <w:outlineLvl w:val="1"/>
              <w:rPr>
                <w:rFonts w:hint="eastAsia" w:ascii="仿宋_GB2312" w:hAnsi="宋体" w:eastAsia="仿宋_GB2312"/>
                <w:color w:val="auto"/>
                <w:kern w:val="0"/>
                <w:sz w:val="18"/>
                <w:szCs w:val="18"/>
                <w:highlight w:val="none"/>
              </w:rPr>
            </w:pPr>
          </w:p>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rPr>
              <w:t>11</w:t>
            </w:r>
          </w:p>
        </w:tc>
        <w:tc>
          <w:tcPr>
            <w:tcW w:w="420" w:type="dxa"/>
            <w:vAlign w:val="top"/>
          </w:tcPr>
          <w:p>
            <w:pPr>
              <w:widowControl/>
              <w:jc w:val="center"/>
              <w:outlineLvl w:val="1"/>
              <w:rPr>
                <w:rFonts w:hint="eastAsia" w:ascii="仿宋_GB2312" w:hAnsi="宋体" w:eastAsia="仿宋_GB2312"/>
                <w:color w:val="auto"/>
                <w:kern w:val="0"/>
                <w:sz w:val="18"/>
                <w:szCs w:val="18"/>
                <w:highlight w:val="none"/>
              </w:rPr>
            </w:pPr>
          </w:p>
          <w:p>
            <w:pPr>
              <w:widowControl/>
              <w:jc w:val="center"/>
              <w:outlineLvl w:val="1"/>
              <w:rPr>
                <w:rFonts w:ascii="仿宋_GB2312" w:hAnsi="宋体" w:eastAsia="仿宋_GB2312"/>
                <w:color w:val="auto"/>
                <w:kern w:val="0"/>
                <w:sz w:val="32"/>
                <w:szCs w:val="32"/>
                <w:highlight w:val="none"/>
              </w:rPr>
            </w:pPr>
          </w:p>
        </w:tc>
        <w:tc>
          <w:tcPr>
            <w:tcW w:w="804" w:type="dxa"/>
            <w:vAlign w:val="top"/>
          </w:tcPr>
          <w:p>
            <w:pPr>
              <w:widowControl/>
              <w:jc w:val="both"/>
              <w:outlineLvl w:val="1"/>
              <w:rPr>
                <w:rFonts w:hint="eastAsia" w:ascii="仿宋_GB2312" w:hAnsi="宋体" w:eastAsia="仿宋_GB2312"/>
                <w:color w:val="auto"/>
                <w:kern w:val="0"/>
                <w:sz w:val="18"/>
                <w:szCs w:val="18"/>
                <w:highlight w:val="none"/>
                <w:lang w:eastAsia="zh-CN"/>
              </w:rPr>
            </w:pPr>
            <w:r>
              <w:rPr>
                <w:rFonts w:hint="eastAsia" w:ascii="仿宋_GB2312" w:hAnsi="宋体" w:eastAsia="仿宋_GB2312"/>
                <w:color w:val="auto"/>
                <w:kern w:val="0"/>
                <w:sz w:val="18"/>
                <w:szCs w:val="18"/>
                <w:highlight w:val="none"/>
                <w:lang w:eastAsia="zh-CN"/>
              </w:rPr>
              <w:t>残疾人事业</w:t>
            </w:r>
          </w:p>
        </w:tc>
        <w:tc>
          <w:tcPr>
            <w:tcW w:w="1464" w:type="dxa"/>
            <w:vAlign w:val="top"/>
          </w:tcPr>
          <w:p>
            <w:pPr>
              <w:widowControl/>
              <w:jc w:val="both"/>
              <w:outlineLvl w:val="1"/>
              <w:rPr>
                <w:rFonts w:hint="eastAsia" w:ascii="仿宋_GB2312" w:hAnsi="宋体" w:eastAsia="仿宋_GB2312"/>
                <w:color w:val="auto"/>
                <w:kern w:val="0"/>
                <w:sz w:val="18"/>
                <w:szCs w:val="18"/>
                <w:highlight w:val="none"/>
                <w:lang w:eastAsia="zh-CN"/>
              </w:rPr>
            </w:pPr>
            <w:r>
              <w:rPr>
                <w:rFonts w:hint="eastAsia" w:ascii="仿宋_GB2312" w:hAnsi="宋体" w:eastAsia="仿宋_GB2312"/>
                <w:color w:val="auto"/>
                <w:kern w:val="0"/>
                <w:sz w:val="18"/>
                <w:szCs w:val="18"/>
                <w:highlight w:val="none"/>
                <w:lang w:val="en-US" w:eastAsia="zh-CN"/>
              </w:rPr>
              <w:t>2024年报自治区残疾人事业发展补助资金</w:t>
            </w:r>
          </w:p>
        </w:tc>
        <w:tc>
          <w:tcPr>
            <w:tcW w:w="709" w:type="dxa"/>
            <w:vAlign w:val="top"/>
          </w:tcPr>
          <w:p>
            <w:pPr>
              <w:widowControl/>
              <w:jc w:val="center"/>
              <w:outlineLvl w:val="1"/>
              <w:rPr>
                <w:rFonts w:hint="eastAsia" w:ascii="仿宋_GB2312" w:hAnsi="宋体" w:eastAsia="仿宋_GB2312"/>
                <w:color w:val="auto"/>
                <w:kern w:val="0"/>
                <w:sz w:val="18"/>
                <w:szCs w:val="18"/>
                <w:highlight w:val="none"/>
                <w:lang w:eastAsia="zh-CN"/>
              </w:rPr>
            </w:pPr>
          </w:p>
          <w:p>
            <w:pPr>
              <w:widowControl/>
              <w:jc w:val="center"/>
              <w:outlineLvl w:val="1"/>
              <w:rPr>
                <w:rFonts w:hint="eastAsia" w:ascii="仿宋_GB2312" w:hAnsi="宋体" w:eastAsia="仿宋_GB2312"/>
                <w:color w:val="auto"/>
                <w:kern w:val="0"/>
                <w:sz w:val="18"/>
                <w:szCs w:val="18"/>
                <w:highlight w:val="none"/>
                <w:lang w:eastAsia="zh-CN"/>
              </w:rPr>
            </w:pPr>
            <w:r>
              <w:rPr>
                <w:rFonts w:hint="eastAsia" w:ascii="仿宋_GB2312" w:hAnsi="宋体" w:eastAsia="仿宋_GB2312"/>
                <w:color w:val="auto"/>
                <w:kern w:val="0"/>
                <w:sz w:val="18"/>
                <w:szCs w:val="18"/>
                <w:highlight w:val="none"/>
                <w:lang w:val="en-US" w:eastAsia="zh-CN"/>
              </w:rPr>
              <w:t>16.60</w:t>
            </w:r>
          </w:p>
        </w:tc>
        <w:tc>
          <w:tcPr>
            <w:tcW w:w="451" w:type="dxa"/>
            <w:vAlign w:val="center"/>
          </w:tcPr>
          <w:p>
            <w:pPr>
              <w:widowControl/>
              <w:jc w:val="center"/>
              <w:outlineLvl w:val="1"/>
              <w:rPr>
                <w:rFonts w:hint="eastAsia" w:ascii="仿宋_GB2312" w:hAnsi="宋体" w:eastAsia="仿宋_GB2312"/>
                <w:color w:val="auto"/>
                <w:kern w:val="0"/>
                <w:sz w:val="18"/>
                <w:szCs w:val="18"/>
                <w:highlight w:val="none"/>
                <w:lang w:eastAsia="zh-CN"/>
              </w:rPr>
            </w:pPr>
          </w:p>
        </w:tc>
        <w:tc>
          <w:tcPr>
            <w:tcW w:w="652" w:type="dxa"/>
            <w:vAlign w:val="center"/>
          </w:tcPr>
          <w:p>
            <w:pPr>
              <w:widowControl/>
              <w:jc w:val="center"/>
              <w:outlineLvl w:val="1"/>
              <w:rPr>
                <w:rFonts w:hint="eastAsia" w:ascii="仿宋_GB2312" w:hAnsi="宋体" w:eastAsia="仿宋_GB2312"/>
                <w:color w:val="auto"/>
                <w:kern w:val="0"/>
                <w:sz w:val="18"/>
                <w:szCs w:val="18"/>
                <w:highlight w:val="none"/>
                <w:lang w:eastAsia="zh-CN"/>
              </w:rPr>
            </w:pPr>
            <w:r>
              <w:rPr>
                <w:rFonts w:hint="eastAsia" w:ascii="仿宋_GB2312" w:hAnsi="宋体" w:eastAsia="仿宋_GB2312"/>
                <w:color w:val="auto"/>
                <w:kern w:val="0"/>
                <w:sz w:val="18"/>
                <w:szCs w:val="18"/>
                <w:highlight w:val="none"/>
                <w:lang w:val="en-US" w:eastAsia="zh-CN"/>
              </w:rPr>
              <w:t>9.85</w:t>
            </w:r>
          </w:p>
        </w:tc>
        <w:tc>
          <w:tcPr>
            <w:tcW w:w="588" w:type="dxa"/>
            <w:vAlign w:val="top"/>
          </w:tcPr>
          <w:p>
            <w:pPr>
              <w:widowControl/>
              <w:jc w:val="center"/>
              <w:outlineLvl w:val="1"/>
              <w:rPr>
                <w:rFonts w:hint="eastAsia" w:ascii="仿宋_GB2312" w:hAnsi="宋体" w:eastAsia="仿宋_GB2312"/>
                <w:color w:val="auto"/>
                <w:kern w:val="0"/>
                <w:sz w:val="18"/>
                <w:szCs w:val="18"/>
                <w:highlight w:val="none"/>
                <w:lang w:eastAsia="zh-CN"/>
              </w:rPr>
            </w:pPr>
          </w:p>
          <w:p>
            <w:pPr>
              <w:widowControl/>
              <w:jc w:val="center"/>
              <w:outlineLvl w:val="1"/>
              <w:rPr>
                <w:rFonts w:hint="eastAsia" w:ascii="仿宋_GB2312" w:hAnsi="宋体" w:eastAsia="仿宋_GB2312"/>
                <w:color w:val="auto"/>
                <w:kern w:val="0"/>
                <w:sz w:val="18"/>
                <w:szCs w:val="18"/>
                <w:highlight w:val="none"/>
                <w:lang w:eastAsia="zh-CN"/>
              </w:rPr>
            </w:pPr>
            <w:r>
              <w:rPr>
                <w:rFonts w:hint="eastAsia" w:ascii="仿宋_GB2312" w:hAnsi="宋体" w:eastAsia="仿宋_GB2312"/>
                <w:color w:val="auto"/>
                <w:kern w:val="0"/>
                <w:sz w:val="18"/>
                <w:szCs w:val="18"/>
                <w:highlight w:val="none"/>
                <w:lang w:val="en-US" w:eastAsia="zh-CN"/>
              </w:rPr>
              <w:t>6.75</w:t>
            </w:r>
          </w:p>
        </w:tc>
        <w:tc>
          <w:tcPr>
            <w:tcW w:w="568" w:type="dxa"/>
            <w:vAlign w:val="top"/>
          </w:tcPr>
          <w:p>
            <w:pPr>
              <w:widowControl/>
              <w:jc w:val="center"/>
              <w:outlineLvl w:val="1"/>
              <w:rPr>
                <w:rFonts w:hint="eastAsia" w:ascii="仿宋_GB2312" w:hAnsi="宋体" w:eastAsia="仿宋_GB2312"/>
                <w:color w:val="auto"/>
                <w:kern w:val="0"/>
                <w:sz w:val="18"/>
                <w:szCs w:val="18"/>
                <w:highlight w:val="none"/>
                <w:lang w:eastAsia="zh-CN"/>
              </w:rPr>
            </w:pPr>
          </w:p>
        </w:tc>
        <w:tc>
          <w:tcPr>
            <w:tcW w:w="618" w:type="dxa"/>
            <w:gridSpan w:val="2"/>
            <w:vAlign w:val="top"/>
          </w:tcPr>
          <w:p>
            <w:pPr>
              <w:widowControl/>
              <w:jc w:val="both"/>
              <w:outlineLvl w:val="1"/>
              <w:rPr>
                <w:rFonts w:hint="eastAsia" w:ascii="仿宋_GB2312" w:hAnsi="宋体" w:eastAsia="仿宋_GB2312"/>
                <w:color w:val="auto"/>
                <w:kern w:val="0"/>
                <w:sz w:val="18"/>
                <w:szCs w:val="18"/>
                <w:highlight w:val="none"/>
                <w:lang w:eastAsia="zh-CN"/>
              </w:rPr>
            </w:pPr>
            <w:r>
              <w:rPr>
                <w:rFonts w:hint="eastAsia" w:ascii="仿宋_GB2312" w:hAnsi="宋体" w:eastAsia="仿宋_GB2312"/>
                <w:color w:val="auto"/>
                <w:kern w:val="0"/>
                <w:sz w:val="18"/>
                <w:szCs w:val="18"/>
                <w:highlight w:val="none"/>
                <w:lang w:eastAsia="zh-CN"/>
              </w:rPr>
              <w:t>　</w:t>
            </w:r>
          </w:p>
        </w:tc>
        <w:tc>
          <w:tcPr>
            <w:tcW w:w="419" w:type="dxa"/>
            <w:vAlign w:val="top"/>
          </w:tcPr>
          <w:p>
            <w:pPr>
              <w:widowControl/>
              <w:jc w:val="both"/>
              <w:outlineLvl w:val="1"/>
              <w:rPr>
                <w:rFonts w:hint="eastAsia" w:ascii="仿宋_GB2312" w:hAnsi="宋体" w:eastAsia="仿宋_GB2312"/>
                <w:color w:val="auto"/>
                <w:kern w:val="0"/>
                <w:sz w:val="18"/>
                <w:szCs w:val="18"/>
                <w:highlight w:val="none"/>
                <w:lang w:eastAsia="zh-CN"/>
              </w:rPr>
            </w:pPr>
            <w:r>
              <w:rPr>
                <w:rFonts w:hint="eastAsia" w:ascii="仿宋_GB2312" w:hAnsi="宋体" w:eastAsia="仿宋_GB2312"/>
                <w:color w:val="auto"/>
                <w:kern w:val="0"/>
                <w:sz w:val="18"/>
                <w:szCs w:val="18"/>
                <w:highlight w:val="none"/>
                <w:lang w:eastAsia="zh-CN"/>
              </w:rPr>
              <w:t>　</w:t>
            </w:r>
          </w:p>
        </w:tc>
        <w:tc>
          <w:tcPr>
            <w:tcW w:w="618" w:type="dxa"/>
            <w:vAlign w:val="top"/>
          </w:tcPr>
          <w:p>
            <w:pPr>
              <w:widowControl/>
              <w:jc w:val="both"/>
              <w:outlineLvl w:val="1"/>
              <w:rPr>
                <w:rFonts w:hint="eastAsia" w:ascii="仿宋_GB2312" w:hAnsi="宋体" w:eastAsia="仿宋_GB2312"/>
                <w:color w:val="auto"/>
                <w:kern w:val="0"/>
                <w:sz w:val="18"/>
                <w:szCs w:val="18"/>
                <w:highlight w:val="none"/>
                <w:lang w:eastAsia="zh-CN"/>
              </w:rPr>
            </w:pPr>
            <w:r>
              <w:rPr>
                <w:rFonts w:hint="eastAsia" w:ascii="仿宋_GB2312" w:hAnsi="宋体" w:eastAsia="仿宋_GB2312"/>
                <w:color w:val="auto"/>
                <w:kern w:val="0"/>
                <w:sz w:val="18"/>
                <w:szCs w:val="18"/>
                <w:highlight w:val="none"/>
                <w:lang w:eastAsia="zh-CN"/>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lang w:val="en-US" w:eastAsia="zh-CN"/>
              </w:rPr>
              <w:t>208</w:t>
            </w:r>
          </w:p>
        </w:tc>
        <w:tc>
          <w:tcPr>
            <w:tcW w:w="432" w:type="dxa"/>
            <w:vAlign w:val="top"/>
          </w:tcPr>
          <w:p>
            <w:pPr>
              <w:widowControl/>
              <w:jc w:val="center"/>
              <w:outlineLvl w:val="1"/>
              <w:rPr>
                <w:rFonts w:hint="eastAsia" w:ascii="仿宋_GB2312" w:hAnsi="宋体" w:eastAsia="仿宋_GB2312"/>
                <w:color w:val="auto"/>
                <w:kern w:val="0"/>
                <w:sz w:val="18"/>
                <w:szCs w:val="18"/>
                <w:highlight w:val="none"/>
              </w:rPr>
            </w:pPr>
          </w:p>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rPr>
              <w:t>11</w:t>
            </w:r>
          </w:p>
        </w:tc>
        <w:tc>
          <w:tcPr>
            <w:tcW w:w="420" w:type="dxa"/>
            <w:vAlign w:val="top"/>
          </w:tcPr>
          <w:p>
            <w:pPr>
              <w:widowControl/>
              <w:jc w:val="center"/>
              <w:outlineLvl w:val="1"/>
              <w:rPr>
                <w:rFonts w:hint="eastAsia" w:ascii="仿宋_GB2312" w:hAnsi="宋体" w:eastAsia="仿宋_GB2312"/>
                <w:color w:val="auto"/>
                <w:kern w:val="0"/>
                <w:sz w:val="18"/>
                <w:szCs w:val="18"/>
                <w:highlight w:val="none"/>
              </w:rPr>
            </w:pPr>
          </w:p>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rPr>
              <w:t>04</w:t>
            </w:r>
          </w:p>
        </w:tc>
        <w:tc>
          <w:tcPr>
            <w:tcW w:w="804" w:type="dxa"/>
            <w:vAlign w:val="top"/>
          </w:tcPr>
          <w:p>
            <w:pPr>
              <w:widowControl/>
              <w:jc w:val="both"/>
              <w:outlineLvl w:val="1"/>
              <w:rPr>
                <w:rFonts w:hint="eastAsia" w:ascii="仿宋_GB2312" w:hAnsi="宋体" w:eastAsia="仿宋_GB2312"/>
                <w:color w:val="auto"/>
                <w:kern w:val="0"/>
                <w:sz w:val="18"/>
                <w:szCs w:val="18"/>
                <w:highlight w:val="none"/>
                <w:lang w:eastAsia="zh-CN"/>
              </w:rPr>
            </w:pPr>
            <w:r>
              <w:rPr>
                <w:rFonts w:hint="eastAsia" w:ascii="仿宋_GB2312" w:hAnsi="宋体" w:eastAsia="仿宋_GB2312"/>
                <w:color w:val="auto"/>
                <w:kern w:val="0"/>
                <w:sz w:val="18"/>
                <w:szCs w:val="18"/>
                <w:highlight w:val="none"/>
                <w:lang w:eastAsia="zh-CN"/>
              </w:rPr>
              <w:t>残疾人康复</w:t>
            </w:r>
          </w:p>
        </w:tc>
        <w:tc>
          <w:tcPr>
            <w:tcW w:w="1464" w:type="dxa"/>
            <w:vAlign w:val="top"/>
          </w:tcPr>
          <w:p>
            <w:pPr>
              <w:widowControl/>
              <w:jc w:val="both"/>
              <w:outlineLvl w:val="1"/>
              <w:rPr>
                <w:rFonts w:hint="eastAsia" w:ascii="仿宋_GB2312" w:hAnsi="宋体" w:eastAsia="仿宋_GB2312"/>
                <w:color w:val="auto"/>
                <w:kern w:val="0"/>
                <w:sz w:val="18"/>
                <w:szCs w:val="18"/>
                <w:highlight w:val="none"/>
                <w:lang w:eastAsia="zh-CN"/>
              </w:rPr>
            </w:pPr>
            <w:r>
              <w:rPr>
                <w:rFonts w:hint="eastAsia" w:ascii="仿宋_GB2312" w:hAnsi="宋体" w:eastAsia="仿宋_GB2312"/>
                <w:color w:val="auto"/>
                <w:kern w:val="0"/>
                <w:sz w:val="18"/>
                <w:szCs w:val="18"/>
                <w:highlight w:val="none"/>
                <w:lang w:val="en-US" w:eastAsia="zh-CN"/>
              </w:rPr>
              <w:t>2024年报自治区残疾人事业发展补助资金</w:t>
            </w:r>
          </w:p>
        </w:tc>
        <w:tc>
          <w:tcPr>
            <w:tcW w:w="709" w:type="dxa"/>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8.00</w:t>
            </w:r>
          </w:p>
        </w:tc>
        <w:tc>
          <w:tcPr>
            <w:tcW w:w="451" w:type="dxa"/>
            <w:vAlign w:val="center"/>
          </w:tcPr>
          <w:p>
            <w:pPr>
              <w:widowControl/>
              <w:jc w:val="center"/>
              <w:outlineLvl w:val="1"/>
              <w:rPr>
                <w:rFonts w:hint="eastAsia" w:ascii="仿宋_GB2312" w:hAnsi="宋体" w:eastAsia="仿宋_GB2312"/>
                <w:color w:val="auto"/>
                <w:kern w:val="0"/>
                <w:sz w:val="18"/>
                <w:szCs w:val="18"/>
                <w:highlight w:val="none"/>
                <w:lang w:eastAsia="zh-CN"/>
              </w:rPr>
            </w:pPr>
          </w:p>
        </w:tc>
        <w:tc>
          <w:tcPr>
            <w:tcW w:w="652" w:type="dxa"/>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1.95</w:t>
            </w:r>
          </w:p>
        </w:tc>
        <w:tc>
          <w:tcPr>
            <w:tcW w:w="588" w:type="dxa"/>
            <w:vAlign w:val="top"/>
          </w:tcPr>
          <w:p>
            <w:pPr>
              <w:widowControl/>
              <w:jc w:val="center"/>
              <w:outlineLvl w:val="1"/>
              <w:rPr>
                <w:rFonts w:hint="eastAsia" w:ascii="仿宋_GB2312" w:hAnsi="宋体" w:eastAsia="仿宋_GB2312"/>
                <w:color w:val="auto"/>
                <w:kern w:val="0"/>
                <w:sz w:val="18"/>
                <w:szCs w:val="18"/>
                <w:highlight w:val="none"/>
                <w:lang w:eastAsia="zh-CN"/>
              </w:rPr>
            </w:pPr>
          </w:p>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6.05</w:t>
            </w:r>
          </w:p>
        </w:tc>
        <w:tc>
          <w:tcPr>
            <w:tcW w:w="568" w:type="dxa"/>
            <w:vAlign w:val="top"/>
          </w:tcPr>
          <w:p>
            <w:pPr>
              <w:widowControl/>
              <w:jc w:val="center"/>
              <w:outlineLvl w:val="1"/>
              <w:rPr>
                <w:rFonts w:hint="eastAsia" w:ascii="仿宋_GB2312" w:hAnsi="宋体" w:eastAsia="仿宋_GB2312"/>
                <w:color w:val="auto"/>
                <w:kern w:val="0"/>
                <w:sz w:val="18"/>
                <w:szCs w:val="18"/>
                <w:highlight w:val="none"/>
                <w:lang w:eastAsia="zh-CN"/>
              </w:rPr>
            </w:pPr>
          </w:p>
        </w:tc>
        <w:tc>
          <w:tcPr>
            <w:tcW w:w="618" w:type="dxa"/>
            <w:gridSpan w:val="2"/>
            <w:vAlign w:val="top"/>
          </w:tcPr>
          <w:p>
            <w:pPr>
              <w:widowControl/>
              <w:jc w:val="both"/>
              <w:outlineLvl w:val="1"/>
              <w:rPr>
                <w:rFonts w:hint="eastAsia" w:ascii="仿宋_GB2312" w:hAnsi="宋体" w:eastAsia="仿宋_GB2312"/>
                <w:color w:val="auto"/>
                <w:kern w:val="0"/>
                <w:sz w:val="18"/>
                <w:szCs w:val="18"/>
                <w:highlight w:val="none"/>
                <w:lang w:eastAsia="zh-CN"/>
              </w:rPr>
            </w:pPr>
            <w:r>
              <w:rPr>
                <w:rFonts w:hint="eastAsia" w:ascii="仿宋_GB2312" w:hAnsi="宋体" w:eastAsia="仿宋_GB2312"/>
                <w:color w:val="auto"/>
                <w:kern w:val="0"/>
                <w:sz w:val="18"/>
                <w:szCs w:val="18"/>
                <w:highlight w:val="none"/>
                <w:lang w:eastAsia="zh-CN"/>
              </w:rPr>
              <w:t>　</w:t>
            </w:r>
          </w:p>
        </w:tc>
        <w:tc>
          <w:tcPr>
            <w:tcW w:w="419" w:type="dxa"/>
            <w:vAlign w:val="top"/>
          </w:tcPr>
          <w:p>
            <w:pPr>
              <w:widowControl/>
              <w:jc w:val="both"/>
              <w:outlineLvl w:val="1"/>
              <w:rPr>
                <w:rFonts w:hint="eastAsia" w:ascii="仿宋_GB2312" w:hAnsi="宋体" w:eastAsia="仿宋_GB2312"/>
                <w:color w:val="auto"/>
                <w:kern w:val="0"/>
                <w:sz w:val="18"/>
                <w:szCs w:val="18"/>
                <w:highlight w:val="none"/>
                <w:lang w:eastAsia="zh-CN"/>
              </w:rPr>
            </w:pPr>
            <w:r>
              <w:rPr>
                <w:rFonts w:hint="eastAsia" w:ascii="仿宋_GB2312" w:hAnsi="宋体" w:eastAsia="仿宋_GB2312"/>
                <w:color w:val="auto"/>
                <w:kern w:val="0"/>
                <w:sz w:val="18"/>
                <w:szCs w:val="18"/>
                <w:highlight w:val="none"/>
                <w:lang w:eastAsia="zh-CN"/>
              </w:rPr>
              <w:t>　</w:t>
            </w:r>
          </w:p>
        </w:tc>
        <w:tc>
          <w:tcPr>
            <w:tcW w:w="618" w:type="dxa"/>
            <w:vAlign w:val="top"/>
          </w:tcPr>
          <w:p>
            <w:pPr>
              <w:widowControl/>
              <w:jc w:val="both"/>
              <w:outlineLvl w:val="1"/>
              <w:rPr>
                <w:rFonts w:hint="eastAsia" w:ascii="仿宋_GB2312" w:hAnsi="宋体" w:eastAsia="仿宋_GB2312"/>
                <w:color w:val="auto"/>
                <w:kern w:val="0"/>
                <w:sz w:val="18"/>
                <w:szCs w:val="18"/>
                <w:highlight w:val="none"/>
                <w:lang w:eastAsia="zh-CN"/>
              </w:rPr>
            </w:pPr>
            <w:r>
              <w:rPr>
                <w:rFonts w:hint="eastAsia" w:ascii="仿宋_GB2312" w:hAnsi="宋体" w:eastAsia="仿宋_GB2312"/>
                <w:color w:val="auto"/>
                <w:kern w:val="0"/>
                <w:sz w:val="18"/>
                <w:szCs w:val="18"/>
                <w:highlight w:val="none"/>
                <w:lang w:eastAsia="zh-CN"/>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vAlign w:val="top"/>
          </w:tcPr>
          <w:p>
            <w:pPr>
              <w:widowControl/>
              <w:jc w:val="center"/>
              <w:outlineLvl w:val="1"/>
              <w:rPr>
                <w:rFonts w:hint="eastAsia" w:ascii="仿宋_GB2312" w:hAnsi="宋体" w:eastAsia="仿宋_GB2312"/>
                <w:color w:val="auto"/>
                <w:kern w:val="0"/>
                <w:sz w:val="18"/>
                <w:szCs w:val="18"/>
                <w:highlight w:val="none"/>
              </w:rPr>
            </w:pPr>
          </w:p>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rPr>
              <w:t>208</w:t>
            </w:r>
          </w:p>
        </w:tc>
        <w:tc>
          <w:tcPr>
            <w:tcW w:w="432" w:type="dxa"/>
            <w:vAlign w:val="top"/>
          </w:tcPr>
          <w:p>
            <w:pPr>
              <w:widowControl/>
              <w:jc w:val="center"/>
              <w:outlineLvl w:val="1"/>
              <w:rPr>
                <w:rFonts w:ascii="仿宋_GB2312" w:hAnsi="宋体" w:eastAsia="仿宋_GB2312"/>
                <w:color w:val="auto"/>
                <w:kern w:val="0"/>
                <w:sz w:val="32"/>
                <w:szCs w:val="32"/>
                <w:highlight w:val="none"/>
              </w:rPr>
            </w:pPr>
          </w:p>
        </w:tc>
        <w:tc>
          <w:tcPr>
            <w:tcW w:w="420" w:type="dxa"/>
            <w:vAlign w:val="top"/>
          </w:tcPr>
          <w:p>
            <w:pPr>
              <w:widowControl/>
              <w:jc w:val="center"/>
              <w:outlineLvl w:val="1"/>
              <w:rPr>
                <w:rFonts w:ascii="仿宋_GB2312" w:hAnsi="宋体" w:eastAsia="仿宋_GB2312"/>
                <w:color w:val="auto"/>
                <w:kern w:val="0"/>
                <w:sz w:val="32"/>
                <w:szCs w:val="32"/>
                <w:highlight w:val="none"/>
              </w:rPr>
            </w:pPr>
          </w:p>
        </w:tc>
        <w:tc>
          <w:tcPr>
            <w:tcW w:w="804"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lang w:eastAsia="zh-CN"/>
              </w:rPr>
              <w:t>社会保障和就业支出</w:t>
            </w:r>
          </w:p>
        </w:tc>
        <w:tc>
          <w:tcPr>
            <w:tcW w:w="1464" w:type="dxa"/>
            <w:vAlign w:val="top"/>
          </w:tcPr>
          <w:p>
            <w:pPr>
              <w:widowControl/>
              <w:jc w:val="both"/>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18"/>
                <w:szCs w:val="18"/>
                <w:highlight w:val="none"/>
              </w:rPr>
              <w:t>昌州财社（</w:t>
            </w:r>
            <w:r>
              <w:rPr>
                <w:rFonts w:hint="eastAsia" w:ascii="仿宋_GB2312" w:hAnsi="宋体" w:eastAsia="仿宋_GB2312"/>
                <w:color w:val="auto"/>
                <w:kern w:val="0"/>
                <w:sz w:val="18"/>
                <w:szCs w:val="18"/>
                <w:highlight w:val="none"/>
                <w:lang w:eastAsia="zh-CN"/>
              </w:rPr>
              <w:t>2024</w:t>
            </w:r>
            <w:r>
              <w:rPr>
                <w:rFonts w:hint="eastAsia" w:ascii="仿宋_GB2312" w:hAnsi="宋体" w:eastAsia="仿宋_GB2312"/>
                <w:color w:val="auto"/>
                <w:kern w:val="0"/>
                <w:sz w:val="18"/>
                <w:szCs w:val="18"/>
                <w:highlight w:val="none"/>
              </w:rPr>
              <w:t>）</w:t>
            </w:r>
            <w:r>
              <w:rPr>
                <w:rFonts w:hint="eastAsia" w:ascii="仿宋_GB2312" w:hAnsi="宋体" w:eastAsia="仿宋_GB2312"/>
                <w:color w:val="auto"/>
                <w:kern w:val="0"/>
                <w:sz w:val="18"/>
                <w:szCs w:val="18"/>
                <w:highlight w:val="none"/>
                <w:lang w:val="en-US" w:eastAsia="zh-CN"/>
              </w:rPr>
              <w:t>53</w:t>
            </w:r>
            <w:r>
              <w:rPr>
                <w:rFonts w:hint="eastAsia" w:ascii="仿宋_GB2312" w:hAnsi="宋体" w:eastAsia="仿宋_GB2312"/>
                <w:color w:val="auto"/>
                <w:kern w:val="0"/>
                <w:sz w:val="18"/>
                <w:szCs w:val="18"/>
                <w:highlight w:val="none"/>
              </w:rPr>
              <w:t>号</w:t>
            </w:r>
            <w:r>
              <w:rPr>
                <w:rFonts w:hint="eastAsia" w:ascii="仿宋_GB2312" w:hAnsi="宋体" w:eastAsia="仿宋_GB2312"/>
                <w:color w:val="auto"/>
                <w:kern w:val="0"/>
                <w:sz w:val="18"/>
                <w:szCs w:val="18"/>
                <w:highlight w:val="none"/>
                <w:lang w:val="en-US" w:eastAsia="zh-CN"/>
              </w:rPr>
              <w:t>-2024年度残疾人保障和关爱服务项目资金（第二批）</w:t>
            </w:r>
          </w:p>
        </w:tc>
        <w:tc>
          <w:tcPr>
            <w:tcW w:w="709" w:type="dxa"/>
            <w:vAlign w:val="top"/>
          </w:tcPr>
          <w:p>
            <w:pPr>
              <w:widowControl/>
              <w:jc w:val="center"/>
              <w:outlineLvl w:val="1"/>
              <w:rPr>
                <w:rFonts w:hint="eastAsia" w:ascii="仿宋_GB2312" w:hAnsi="宋体" w:eastAsia="仿宋_GB2312"/>
                <w:color w:val="auto"/>
                <w:kern w:val="0"/>
                <w:sz w:val="18"/>
                <w:szCs w:val="18"/>
                <w:highlight w:val="none"/>
                <w:lang w:eastAsia="zh-CN"/>
              </w:rPr>
            </w:pPr>
          </w:p>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hint="default" w:ascii="仿宋_GB2312" w:hAnsi="宋体" w:eastAsia="仿宋_GB2312"/>
                <w:color w:val="auto"/>
                <w:kern w:val="0"/>
                <w:sz w:val="32"/>
                <w:szCs w:val="32"/>
                <w:highlight w:val="none"/>
                <w:lang w:val="en-US"/>
              </w:rPr>
            </w:pPr>
            <w:r>
              <w:rPr>
                <w:rFonts w:hint="eastAsia" w:ascii="仿宋_GB2312" w:hAnsi="宋体" w:eastAsia="仿宋_GB2312"/>
                <w:color w:val="auto"/>
                <w:kern w:val="0"/>
                <w:sz w:val="18"/>
                <w:szCs w:val="18"/>
                <w:highlight w:val="none"/>
                <w:lang w:val="en-US" w:eastAsia="zh-CN"/>
              </w:rPr>
              <w:t>8.60</w:t>
            </w:r>
          </w:p>
        </w:tc>
        <w:tc>
          <w:tcPr>
            <w:tcW w:w="451" w:type="dxa"/>
            <w:vAlign w:val="center"/>
          </w:tcPr>
          <w:p>
            <w:pPr>
              <w:widowControl/>
              <w:jc w:val="center"/>
              <w:outlineLvl w:val="1"/>
              <w:rPr>
                <w:rFonts w:ascii="仿宋_GB2312" w:hAnsi="宋体" w:eastAsia="仿宋_GB2312"/>
                <w:color w:val="auto"/>
                <w:kern w:val="0"/>
                <w:sz w:val="32"/>
                <w:szCs w:val="32"/>
                <w:highlight w:val="none"/>
              </w:rPr>
            </w:pPr>
          </w:p>
        </w:tc>
        <w:tc>
          <w:tcPr>
            <w:tcW w:w="652" w:type="dxa"/>
            <w:vAlign w:val="center"/>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hint="default" w:ascii="仿宋_GB2312" w:hAnsi="宋体" w:eastAsia="仿宋_GB2312"/>
                <w:color w:val="auto"/>
                <w:kern w:val="0"/>
                <w:sz w:val="32"/>
                <w:szCs w:val="32"/>
                <w:highlight w:val="none"/>
                <w:lang w:val="en-US"/>
              </w:rPr>
            </w:pPr>
            <w:r>
              <w:rPr>
                <w:rFonts w:hint="eastAsia" w:ascii="仿宋_GB2312" w:hAnsi="宋体" w:eastAsia="仿宋_GB2312"/>
                <w:color w:val="auto"/>
                <w:kern w:val="0"/>
                <w:sz w:val="18"/>
                <w:szCs w:val="18"/>
                <w:highlight w:val="none"/>
                <w:lang w:val="en-US" w:eastAsia="zh-CN"/>
              </w:rPr>
              <w:t>7.90</w:t>
            </w:r>
          </w:p>
        </w:tc>
        <w:tc>
          <w:tcPr>
            <w:tcW w:w="588" w:type="dxa"/>
            <w:vAlign w:val="top"/>
          </w:tcPr>
          <w:p>
            <w:pPr>
              <w:widowControl/>
              <w:jc w:val="center"/>
              <w:outlineLvl w:val="1"/>
              <w:rPr>
                <w:rFonts w:hint="eastAsia" w:ascii="仿宋_GB2312" w:hAnsi="宋体" w:eastAsia="仿宋_GB2312"/>
                <w:color w:val="auto"/>
                <w:kern w:val="0"/>
                <w:sz w:val="18"/>
                <w:szCs w:val="18"/>
                <w:highlight w:val="none"/>
                <w:lang w:eastAsia="zh-CN"/>
              </w:rPr>
            </w:pPr>
          </w:p>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hint="default" w:ascii="仿宋_GB2312" w:hAnsi="宋体" w:eastAsia="仿宋_GB2312"/>
                <w:color w:val="auto"/>
                <w:kern w:val="0"/>
                <w:sz w:val="32"/>
                <w:szCs w:val="32"/>
                <w:highlight w:val="none"/>
                <w:lang w:val="en-US"/>
              </w:rPr>
            </w:pPr>
            <w:r>
              <w:rPr>
                <w:rFonts w:hint="eastAsia" w:ascii="仿宋_GB2312" w:hAnsi="宋体" w:eastAsia="仿宋_GB2312"/>
                <w:color w:val="auto"/>
                <w:kern w:val="0"/>
                <w:sz w:val="18"/>
                <w:szCs w:val="18"/>
                <w:highlight w:val="none"/>
                <w:lang w:val="en-US" w:eastAsia="zh-CN"/>
              </w:rPr>
              <w:t>0.70</w:t>
            </w:r>
          </w:p>
        </w:tc>
        <w:tc>
          <w:tcPr>
            <w:tcW w:w="568" w:type="dxa"/>
            <w:vAlign w:val="top"/>
          </w:tcPr>
          <w:p>
            <w:pPr>
              <w:widowControl/>
              <w:jc w:val="center"/>
              <w:outlineLvl w:val="1"/>
              <w:rPr>
                <w:rFonts w:ascii="仿宋_GB2312" w:hAnsi="宋体" w:eastAsia="仿宋_GB2312"/>
                <w:color w:val="auto"/>
                <w:kern w:val="0"/>
                <w:sz w:val="32"/>
                <w:szCs w:val="32"/>
                <w:highlight w:val="none"/>
              </w:rPr>
            </w:pP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lang w:val="en-US" w:eastAsia="zh-CN"/>
              </w:rPr>
              <w:t>208</w:t>
            </w:r>
          </w:p>
        </w:tc>
        <w:tc>
          <w:tcPr>
            <w:tcW w:w="432" w:type="dxa"/>
            <w:vAlign w:val="top"/>
          </w:tcPr>
          <w:p>
            <w:pPr>
              <w:widowControl/>
              <w:jc w:val="center"/>
              <w:outlineLvl w:val="1"/>
              <w:rPr>
                <w:rFonts w:hint="eastAsia" w:ascii="仿宋_GB2312" w:hAnsi="宋体" w:eastAsia="仿宋_GB2312"/>
                <w:color w:val="auto"/>
                <w:kern w:val="0"/>
                <w:sz w:val="18"/>
                <w:szCs w:val="18"/>
                <w:highlight w:val="none"/>
              </w:rPr>
            </w:pPr>
          </w:p>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rPr>
              <w:t>11</w:t>
            </w:r>
          </w:p>
        </w:tc>
        <w:tc>
          <w:tcPr>
            <w:tcW w:w="420" w:type="dxa"/>
            <w:vAlign w:val="top"/>
          </w:tcPr>
          <w:p>
            <w:pPr>
              <w:widowControl/>
              <w:jc w:val="center"/>
              <w:outlineLvl w:val="1"/>
              <w:rPr>
                <w:rFonts w:hint="eastAsia" w:ascii="仿宋_GB2312" w:hAnsi="宋体" w:eastAsia="仿宋_GB2312"/>
                <w:color w:val="auto"/>
                <w:kern w:val="0"/>
                <w:sz w:val="18"/>
                <w:szCs w:val="18"/>
                <w:highlight w:val="none"/>
              </w:rPr>
            </w:pPr>
          </w:p>
          <w:p>
            <w:pPr>
              <w:widowControl/>
              <w:jc w:val="center"/>
              <w:outlineLvl w:val="1"/>
              <w:rPr>
                <w:rFonts w:ascii="仿宋_GB2312" w:hAnsi="宋体" w:eastAsia="仿宋_GB2312"/>
                <w:color w:val="auto"/>
                <w:kern w:val="0"/>
                <w:sz w:val="32"/>
                <w:szCs w:val="32"/>
                <w:highlight w:val="none"/>
              </w:rPr>
            </w:pPr>
          </w:p>
        </w:tc>
        <w:tc>
          <w:tcPr>
            <w:tcW w:w="804"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lang w:eastAsia="zh-CN"/>
              </w:rPr>
              <w:t>残疾人事业</w:t>
            </w:r>
          </w:p>
        </w:tc>
        <w:tc>
          <w:tcPr>
            <w:tcW w:w="1464"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rPr>
              <w:t>昌州财社（</w:t>
            </w:r>
            <w:r>
              <w:rPr>
                <w:rFonts w:hint="eastAsia" w:ascii="仿宋_GB2312" w:hAnsi="宋体" w:eastAsia="仿宋_GB2312"/>
                <w:color w:val="auto"/>
                <w:kern w:val="0"/>
                <w:sz w:val="18"/>
                <w:szCs w:val="18"/>
                <w:highlight w:val="none"/>
                <w:lang w:eastAsia="zh-CN"/>
              </w:rPr>
              <w:t>2024</w:t>
            </w:r>
            <w:r>
              <w:rPr>
                <w:rFonts w:hint="eastAsia" w:ascii="仿宋_GB2312" w:hAnsi="宋体" w:eastAsia="仿宋_GB2312"/>
                <w:color w:val="auto"/>
                <w:kern w:val="0"/>
                <w:sz w:val="18"/>
                <w:szCs w:val="18"/>
                <w:highlight w:val="none"/>
              </w:rPr>
              <w:t>）</w:t>
            </w:r>
            <w:r>
              <w:rPr>
                <w:rFonts w:hint="eastAsia" w:ascii="仿宋_GB2312" w:hAnsi="宋体" w:eastAsia="仿宋_GB2312"/>
                <w:color w:val="auto"/>
                <w:kern w:val="0"/>
                <w:sz w:val="18"/>
                <w:szCs w:val="18"/>
                <w:highlight w:val="none"/>
                <w:lang w:val="en-US" w:eastAsia="zh-CN"/>
              </w:rPr>
              <w:t>53</w:t>
            </w:r>
            <w:r>
              <w:rPr>
                <w:rFonts w:hint="eastAsia" w:ascii="仿宋_GB2312" w:hAnsi="宋体" w:eastAsia="仿宋_GB2312"/>
                <w:color w:val="auto"/>
                <w:kern w:val="0"/>
                <w:sz w:val="18"/>
                <w:szCs w:val="18"/>
                <w:highlight w:val="none"/>
              </w:rPr>
              <w:t>号</w:t>
            </w:r>
            <w:r>
              <w:rPr>
                <w:rFonts w:hint="eastAsia" w:ascii="仿宋_GB2312" w:hAnsi="宋体" w:eastAsia="仿宋_GB2312"/>
                <w:color w:val="auto"/>
                <w:kern w:val="0"/>
                <w:sz w:val="18"/>
                <w:szCs w:val="18"/>
                <w:highlight w:val="none"/>
                <w:lang w:val="en-US" w:eastAsia="zh-CN"/>
              </w:rPr>
              <w:t>-2024年度残疾人保障和关爱服务项目资金（第二批）</w:t>
            </w:r>
          </w:p>
        </w:tc>
        <w:tc>
          <w:tcPr>
            <w:tcW w:w="709" w:type="dxa"/>
            <w:vAlign w:val="top"/>
          </w:tcPr>
          <w:p>
            <w:pPr>
              <w:widowControl/>
              <w:jc w:val="center"/>
              <w:outlineLvl w:val="1"/>
              <w:rPr>
                <w:rFonts w:hint="eastAsia" w:ascii="仿宋_GB2312" w:hAnsi="宋体" w:eastAsia="仿宋_GB2312"/>
                <w:color w:val="auto"/>
                <w:kern w:val="0"/>
                <w:sz w:val="18"/>
                <w:szCs w:val="18"/>
                <w:highlight w:val="none"/>
                <w:lang w:eastAsia="zh-CN"/>
              </w:rPr>
            </w:pPr>
          </w:p>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lang w:val="en-US" w:eastAsia="zh-CN"/>
              </w:rPr>
              <w:t>8.60</w:t>
            </w:r>
          </w:p>
        </w:tc>
        <w:tc>
          <w:tcPr>
            <w:tcW w:w="451" w:type="dxa"/>
            <w:vAlign w:val="center"/>
          </w:tcPr>
          <w:p>
            <w:pPr>
              <w:widowControl/>
              <w:jc w:val="center"/>
              <w:outlineLvl w:val="1"/>
              <w:rPr>
                <w:rFonts w:ascii="仿宋_GB2312" w:hAnsi="宋体" w:eastAsia="仿宋_GB2312"/>
                <w:color w:val="auto"/>
                <w:kern w:val="0"/>
                <w:sz w:val="32"/>
                <w:szCs w:val="32"/>
                <w:highlight w:val="none"/>
              </w:rPr>
            </w:pPr>
          </w:p>
        </w:tc>
        <w:tc>
          <w:tcPr>
            <w:tcW w:w="652" w:type="dxa"/>
            <w:vAlign w:val="center"/>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lang w:val="en-US" w:eastAsia="zh-CN"/>
              </w:rPr>
              <w:t>7.90</w:t>
            </w:r>
          </w:p>
        </w:tc>
        <w:tc>
          <w:tcPr>
            <w:tcW w:w="588" w:type="dxa"/>
            <w:vAlign w:val="top"/>
          </w:tcPr>
          <w:p>
            <w:pPr>
              <w:widowControl/>
              <w:jc w:val="center"/>
              <w:outlineLvl w:val="1"/>
              <w:rPr>
                <w:rFonts w:hint="eastAsia" w:ascii="仿宋_GB2312" w:hAnsi="宋体" w:eastAsia="仿宋_GB2312"/>
                <w:color w:val="auto"/>
                <w:kern w:val="0"/>
                <w:sz w:val="18"/>
                <w:szCs w:val="18"/>
                <w:highlight w:val="none"/>
                <w:lang w:eastAsia="zh-CN"/>
              </w:rPr>
            </w:pPr>
          </w:p>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lang w:val="en-US" w:eastAsia="zh-CN"/>
              </w:rPr>
              <w:t>0.70</w:t>
            </w:r>
          </w:p>
        </w:tc>
        <w:tc>
          <w:tcPr>
            <w:tcW w:w="568" w:type="dxa"/>
            <w:vAlign w:val="top"/>
          </w:tcPr>
          <w:p>
            <w:pPr>
              <w:widowControl/>
              <w:jc w:val="center"/>
              <w:outlineLvl w:val="1"/>
              <w:rPr>
                <w:rFonts w:ascii="仿宋_GB2312" w:hAnsi="宋体" w:eastAsia="仿宋_GB2312"/>
                <w:color w:val="auto"/>
                <w:kern w:val="0"/>
                <w:sz w:val="32"/>
                <w:szCs w:val="32"/>
                <w:highlight w:val="none"/>
              </w:rPr>
            </w:pP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lang w:val="en-US" w:eastAsia="zh-CN"/>
              </w:rPr>
              <w:t>208</w:t>
            </w:r>
          </w:p>
        </w:tc>
        <w:tc>
          <w:tcPr>
            <w:tcW w:w="432" w:type="dxa"/>
            <w:vAlign w:val="top"/>
          </w:tcPr>
          <w:p>
            <w:pPr>
              <w:widowControl/>
              <w:jc w:val="center"/>
              <w:outlineLvl w:val="1"/>
              <w:rPr>
                <w:rFonts w:hint="eastAsia" w:ascii="仿宋_GB2312" w:hAnsi="宋体" w:eastAsia="仿宋_GB2312"/>
                <w:color w:val="auto"/>
                <w:kern w:val="0"/>
                <w:sz w:val="18"/>
                <w:szCs w:val="18"/>
                <w:highlight w:val="none"/>
              </w:rPr>
            </w:pPr>
          </w:p>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rPr>
              <w:t>11</w:t>
            </w:r>
          </w:p>
        </w:tc>
        <w:tc>
          <w:tcPr>
            <w:tcW w:w="420" w:type="dxa"/>
            <w:vAlign w:val="top"/>
          </w:tcPr>
          <w:p>
            <w:pPr>
              <w:widowControl/>
              <w:jc w:val="center"/>
              <w:outlineLvl w:val="1"/>
              <w:rPr>
                <w:rFonts w:hint="eastAsia" w:ascii="仿宋_GB2312" w:hAnsi="宋体" w:eastAsia="仿宋_GB2312"/>
                <w:color w:val="auto"/>
                <w:kern w:val="0"/>
                <w:sz w:val="18"/>
                <w:szCs w:val="18"/>
                <w:highlight w:val="none"/>
              </w:rPr>
            </w:pPr>
          </w:p>
          <w:p>
            <w:pPr>
              <w:widowControl/>
              <w:jc w:val="both"/>
              <w:outlineLvl w:val="1"/>
              <w:rPr>
                <w:rFonts w:hint="eastAsia"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18"/>
                <w:szCs w:val="18"/>
                <w:highlight w:val="none"/>
              </w:rPr>
              <w:t>0</w:t>
            </w:r>
            <w:r>
              <w:rPr>
                <w:rFonts w:hint="eastAsia" w:ascii="仿宋_GB2312" w:hAnsi="宋体" w:eastAsia="仿宋_GB2312"/>
                <w:color w:val="auto"/>
                <w:kern w:val="0"/>
                <w:sz w:val="18"/>
                <w:szCs w:val="18"/>
                <w:highlight w:val="none"/>
                <w:lang w:val="en-US" w:eastAsia="zh-CN"/>
              </w:rPr>
              <w:t>5</w:t>
            </w:r>
          </w:p>
        </w:tc>
        <w:tc>
          <w:tcPr>
            <w:tcW w:w="804" w:type="dxa"/>
            <w:vAlign w:val="top"/>
          </w:tcPr>
          <w:p>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lang w:eastAsia="zh-CN"/>
              </w:rPr>
              <w:t>残疾人就业</w:t>
            </w:r>
          </w:p>
        </w:tc>
        <w:tc>
          <w:tcPr>
            <w:tcW w:w="1464" w:type="dxa"/>
            <w:vAlign w:val="top"/>
          </w:tcPr>
          <w:p>
            <w:pPr>
              <w:widowControl/>
              <w:jc w:val="both"/>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昌州财社（2024）53号-2024年度残疾人保障和关爱服务项目资金（第二批）</w:t>
            </w:r>
          </w:p>
        </w:tc>
        <w:tc>
          <w:tcPr>
            <w:tcW w:w="709" w:type="dxa"/>
            <w:vAlign w:val="top"/>
          </w:tcPr>
          <w:p>
            <w:pPr>
              <w:widowControl/>
              <w:jc w:val="both"/>
              <w:outlineLvl w:val="1"/>
              <w:rPr>
                <w:rFonts w:hint="eastAsia" w:ascii="仿宋_GB2312" w:hAnsi="宋体" w:eastAsia="仿宋_GB2312"/>
                <w:color w:val="auto"/>
                <w:kern w:val="0"/>
                <w:sz w:val="18"/>
                <w:szCs w:val="18"/>
                <w:highlight w:val="none"/>
                <w:lang w:val="en-US" w:eastAsia="zh-CN"/>
              </w:rPr>
            </w:pPr>
          </w:p>
          <w:p>
            <w:pPr>
              <w:widowControl/>
              <w:jc w:val="both"/>
              <w:outlineLvl w:val="1"/>
              <w:rPr>
                <w:rFonts w:hint="eastAsia" w:ascii="仿宋_GB2312" w:hAnsi="宋体" w:eastAsia="仿宋_GB2312"/>
                <w:color w:val="auto"/>
                <w:kern w:val="0"/>
                <w:sz w:val="18"/>
                <w:szCs w:val="18"/>
                <w:highlight w:val="none"/>
                <w:lang w:val="en-US" w:eastAsia="zh-CN"/>
              </w:rPr>
            </w:pPr>
          </w:p>
          <w:p>
            <w:pPr>
              <w:widowControl/>
              <w:jc w:val="both"/>
              <w:outlineLvl w:val="1"/>
              <w:rPr>
                <w:rFonts w:hint="eastAsia" w:ascii="仿宋_GB2312" w:hAnsi="宋体" w:eastAsia="仿宋_GB2312"/>
                <w:color w:val="auto"/>
                <w:kern w:val="0"/>
                <w:sz w:val="18"/>
                <w:szCs w:val="18"/>
                <w:highlight w:val="none"/>
                <w:lang w:val="en-US" w:eastAsia="zh-CN"/>
              </w:rPr>
            </w:pPr>
          </w:p>
          <w:p>
            <w:pPr>
              <w:widowControl/>
              <w:jc w:val="both"/>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8.60</w:t>
            </w:r>
          </w:p>
        </w:tc>
        <w:tc>
          <w:tcPr>
            <w:tcW w:w="451" w:type="dxa"/>
            <w:vAlign w:val="center"/>
          </w:tcPr>
          <w:p>
            <w:pPr>
              <w:widowControl/>
              <w:jc w:val="both"/>
              <w:outlineLvl w:val="1"/>
              <w:rPr>
                <w:rFonts w:hint="eastAsia" w:ascii="仿宋_GB2312" w:hAnsi="宋体" w:eastAsia="仿宋_GB2312"/>
                <w:color w:val="auto"/>
                <w:kern w:val="0"/>
                <w:sz w:val="18"/>
                <w:szCs w:val="18"/>
                <w:highlight w:val="none"/>
                <w:lang w:val="en-US" w:eastAsia="zh-CN"/>
              </w:rPr>
            </w:pPr>
          </w:p>
        </w:tc>
        <w:tc>
          <w:tcPr>
            <w:tcW w:w="652" w:type="dxa"/>
            <w:vAlign w:val="center"/>
          </w:tcPr>
          <w:p>
            <w:pPr>
              <w:widowControl/>
              <w:jc w:val="both"/>
              <w:outlineLvl w:val="1"/>
              <w:rPr>
                <w:rFonts w:hint="eastAsia" w:ascii="仿宋_GB2312" w:hAnsi="宋体" w:eastAsia="仿宋_GB2312"/>
                <w:color w:val="auto"/>
                <w:kern w:val="0"/>
                <w:sz w:val="18"/>
                <w:szCs w:val="18"/>
                <w:highlight w:val="none"/>
                <w:lang w:val="en-US" w:eastAsia="zh-CN"/>
              </w:rPr>
            </w:pPr>
          </w:p>
          <w:p>
            <w:pPr>
              <w:widowControl/>
              <w:jc w:val="both"/>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7.90</w:t>
            </w:r>
          </w:p>
        </w:tc>
        <w:tc>
          <w:tcPr>
            <w:tcW w:w="588" w:type="dxa"/>
            <w:vAlign w:val="top"/>
          </w:tcPr>
          <w:p>
            <w:pPr>
              <w:widowControl/>
              <w:jc w:val="both"/>
              <w:outlineLvl w:val="1"/>
              <w:rPr>
                <w:rFonts w:hint="eastAsia" w:ascii="仿宋_GB2312" w:hAnsi="宋体" w:eastAsia="仿宋_GB2312"/>
                <w:color w:val="auto"/>
                <w:kern w:val="0"/>
                <w:sz w:val="18"/>
                <w:szCs w:val="18"/>
                <w:highlight w:val="none"/>
                <w:lang w:val="en-US" w:eastAsia="zh-CN"/>
              </w:rPr>
            </w:pPr>
          </w:p>
          <w:p>
            <w:pPr>
              <w:widowControl/>
              <w:jc w:val="both"/>
              <w:outlineLvl w:val="1"/>
              <w:rPr>
                <w:rFonts w:hint="eastAsia" w:ascii="仿宋_GB2312" w:hAnsi="宋体" w:eastAsia="仿宋_GB2312"/>
                <w:color w:val="auto"/>
                <w:kern w:val="0"/>
                <w:sz w:val="18"/>
                <w:szCs w:val="18"/>
                <w:highlight w:val="none"/>
                <w:lang w:val="en-US" w:eastAsia="zh-CN"/>
              </w:rPr>
            </w:pPr>
          </w:p>
          <w:p>
            <w:pPr>
              <w:widowControl/>
              <w:jc w:val="both"/>
              <w:outlineLvl w:val="1"/>
              <w:rPr>
                <w:rFonts w:hint="eastAsia" w:ascii="仿宋_GB2312" w:hAnsi="宋体" w:eastAsia="仿宋_GB2312"/>
                <w:color w:val="auto"/>
                <w:kern w:val="0"/>
                <w:sz w:val="18"/>
                <w:szCs w:val="18"/>
                <w:highlight w:val="none"/>
                <w:lang w:val="en-US" w:eastAsia="zh-CN"/>
              </w:rPr>
            </w:pPr>
          </w:p>
          <w:p>
            <w:pPr>
              <w:widowControl/>
              <w:jc w:val="both"/>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0.70</w:t>
            </w:r>
          </w:p>
        </w:tc>
        <w:tc>
          <w:tcPr>
            <w:tcW w:w="568" w:type="dxa"/>
            <w:vAlign w:val="top"/>
          </w:tcPr>
          <w:p>
            <w:pPr>
              <w:widowControl/>
              <w:jc w:val="both"/>
              <w:outlineLvl w:val="1"/>
              <w:rPr>
                <w:rFonts w:hint="eastAsia" w:ascii="仿宋_GB2312" w:hAnsi="宋体" w:eastAsia="仿宋_GB2312"/>
                <w:color w:val="auto"/>
                <w:kern w:val="0"/>
                <w:sz w:val="18"/>
                <w:szCs w:val="18"/>
                <w:highlight w:val="none"/>
                <w:lang w:val="en-US" w:eastAsia="zh-CN"/>
              </w:rPr>
            </w:pPr>
          </w:p>
        </w:tc>
        <w:tc>
          <w:tcPr>
            <w:tcW w:w="618" w:type="dxa"/>
            <w:gridSpan w:val="2"/>
            <w:vAlign w:val="top"/>
          </w:tcPr>
          <w:p>
            <w:pPr>
              <w:widowControl/>
              <w:jc w:val="both"/>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64" w:type="dxa"/>
            <w:vAlign w:val="top"/>
          </w:tcPr>
          <w:p>
            <w:pPr>
              <w:widowControl/>
              <w:jc w:val="both"/>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　　</w:t>
            </w:r>
          </w:p>
        </w:tc>
        <w:tc>
          <w:tcPr>
            <w:tcW w:w="709" w:type="dxa"/>
            <w:vAlign w:val="top"/>
          </w:tcPr>
          <w:p>
            <w:pPr>
              <w:widowControl/>
              <w:jc w:val="both"/>
              <w:outlineLvl w:val="1"/>
              <w:rPr>
                <w:rFonts w:hint="eastAsia" w:ascii="仿宋_GB2312" w:hAnsi="宋体" w:eastAsia="仿宋_GB2312"/>
                <w:color w:val="auto"/>
                <w:kern w:val="0"/>
                <w:sz w:val="18"/>
                <w:szCs w:val="18"/>
                <w:highlight w:val="none"/>
                <w:lang w:val="en-US" w:eastAsia="zh-CN"/>
              </w:rPr>
            </w:pPr>
          </w:p>
        </w:tc>
        <w:tc>
          <w:tcPr>
            <w:tcW w:w="451" w:type="dxa"/>
            <w:vAlign w:val="top"/>
          </w:tcPr>
          <w:p>
            <w:pPr>
              <w:widowControl/>
              <w:jc w:val="both"/>
              <w:outlineLvl w:val="1"/>
              <w:rPr>
                <w:rFonts w:hint="eastAsia" w:ascii="仿宋_GB2312" w:hAnsi="宋体" w:eastAsia="仿宋_GB2312"/>
                <w:color w:val="auto"/>
                <w:kern w:val="0"/>
                <w:sz w:val="18"/>
                <w:szCs w:val="18"/>
                <w:highlight w:val="none"/>
                <w:lang w:val="en-US" w:eastAsia="zh-CN"/>
              </w:rPr>
            </w:pPr>
          </w:p>
        </w:tc>
        <w:tc>
          <w:tcPr>
            <w:tcW w:w="652" w:type="dxa"/>
            <w:vAlign w:val="top"/>
          </w:tcPr>
          <w:p>
            <w:pPr>
              <w:widowControl/>
              <w:jc w:val="both"/>
              <w:outlineLvl w:val="1"/>
              <w:rPr>
                <w:rFonts w:hint="eastAsia" w:ascii="仿宋_GB2312" w:hAnsi="宋体" w:eastAsia="仿宋_GB2312"/>
                <w:color w:val="auto"/>
                <w:kern w:val="0"/>
                <w:sz w:val="18"/>
                <w:szCs w:val="18"/>
                <w:highlight w:val="none"/>
                <w:lang w:val="en-US" w:eastAsia="zh-CN"/>
              </w:rPr>
            </w:pPr>
          </w:p>
        </w:tc>
        <w:tc>
          <w:tcPr>
            <w:tcW w:w="588" w:type="dxa"/>
            <w:vAlign w:val="top"/>
          </w:tcPr>
          <w:p>
            <w:pPr>
              <w:widowControl/>
              <w:jc w:val="both"/>
              <w:outlineLvl w:val="1"/>
              <w:rPr>
                <w:rFonts w:hint="eastAsia" w:ascii="仿宋_GB2312" w:hAnsi="宋体" w:eastAsia="仿宋_GB2312"/>
                <w:color w:val="auto"/>
                <w:kern w:val="0"/>
                <w:sz w:val="18"/>
                <w:szCs w:val="18"/>
                <w:highlight w:val="none"/>
                <w:lang w:val="en-US" w:eastAsia="zh-CN"/>
              </w:rPr>
            </w:pPr>
          </w:p>
        </w:tc>
        <w:tc>
          <w:tcPr>
            <w:tcW w:w="568" w:type="dxa"/>
            <w:vAlign w:val="top"/>
          </w:tcPr>
          <w:p>
            <w:pPr>
              <w:widowControl/>
              <w:jc w:val="both"/>
              <w:outlineLvl w:val="1"/>
              <w:rPr>
                <w:rFonts w:hint="eastAsia" w:ascii="仿宋_GB2312" w:hAnsi="宋体" w:eastAsia="仿宋_GB2312"/>
                <w:color w:val="auto"/>
                <w:kern w:val="0"/>
                <w:sz w:val="18"/>
                <w:szCs w:val="18"/>
                <w:highlight w:val="none"/>
                <w:lang w:val="en-US" w:eastAsia="zh-CN"/>
              </w:rPr>
            </w:pPr>
          </w:p>
        </w:tc>
        <w:tc>
          <w:tcPr>
            <w:tcW w:w="618" w:type="dxa"/>
            <w:gridSpan w:val="2"/>
            <w:vAlign w:val="top"/>
          </w:tcPr>
          <w:p>
            <w:pPr>
              <w:widowControl/>
              <w:jc w:val="both"/>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64" w:type="dxa"/>
            <w:vAlign w:val="center"/>
          </w:tcPr>
          <w:p>
            <w:pPr>
              <w:widowControl/>
              <w:jc w:val="both"/>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合 计</w:t>
            </w:r>
          </w:p>
        </w:tc>
        <w:tc>
          <w:tcPr>
            <w:tcW w:w="709" w:type="dxa"/>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16.60</w:t>
            </w:r>
          </w:p>
        </w:tc>
        <w:tc>
          <w:tcPr>
            <w:tcW w:w="451" w:type="dxa"/>
            <w:vAlign w:val="top"/>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　</w:t>
            </w:r>
          </w:p>
        </w:tc>
        <w:tc>
          <w:tcPr>
            <w:tcW w:w="652" w:type="dxa"/>
            <w:vAlign w:val="top"/>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　9.85</w:t>
            </w:r>
          </w:p>
        </w:tc>
        <w:tc>
          <w:tcPr>
            <w:tcW w:w="588" w:type="dxa"/>
            <w:vAlign w:val="top"/>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　6.75</w:t>
            </w:r>
          </w:p>
        </w:tc>
        <w:tc>
          <w:tcPr>
            <w:tcW w:w="568" w:type="dxa"/>
            <w:vAlign w:val="top"/>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　</w:t>
            </w:r>
          </w:p>
        </w:tc>
        <w:tc>
          <w:tcPr>
            <w:tcW w:w="618" w:type="dxa"/>
            <w:gridSpan w:val="2"/>
            <w:vAlign w:val="top"/>
          </w:tcPr>
          <w:p>
            <w:pPr>
              <w:widowControl/>
              <w:jc w:val="both"/>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呼图壁县残疾人联合会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本单位2024年无政府性基金，此表为空表。</w:t>
      </w:r>
    </w:p>
    <w:p>
      <w:pPr>
        <w:keepNext w:val="0"/>
        <w:keepLines w:val="0"/>
        <w:widowControl/>
        <w:suppressLineNumbers w:val="0"/>
        <w:jc w:val="left"/>
        <w:textAlignment w:val="bottom"/>
        <w:rPr>
          <w:rFonts w:hint="eastAsia" w:ascii="仿宋" w:hAnsi="仿宋" w:eastAsia="仿宋" w:cs="仿宋"/>
          <w:b w:val="0"/>
          <w:bCs w:val="0"/>
          <w:color w:val="auto"/>
          <w:sz w:val="24"/>
          <w:szCs w:val="24"/>
          <w:highlight w:val="none"/>
          <w:lang w:val="en-US" w:eastAsia="zh-CN"/>
        </w:rPr>
      </w:pPr>
    </w:p>
    <w:p>
      <w:pPr>
        <w:keepNext w:val="0"/>
        <w:keepLines w:val="0"/>
        <w:widowControl/>
        <w:suppressLineNumbers w:val="0"/>
        <w:jc w:val="left"/>
        <w:textAlignment w:val="bottom"/>
        <w:rPr>
          <w:rFonts w:hint="eastAsia" w:ascii="仿宋" w:hAnsi="仿宋" w:eastAsia="仿宋" w:cs="仿宋"/>
          <w:b w:val="0"/>
          <w:bCs w:val="0"/>
          <w:color w:val="auto"/>
          <w:sz w:val="24"/>
          <w:szCs w:val="24"/>
          <w:highlight w:val="none"/>
          <w:lang w:val="en-US" w:eastAsia="zh-CN"/>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呼图壁县残疾人联合会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widowControl/>
        <w:suppressLineNumbers w:val="0"/>
        <w:jc w:val="left"/>
        <w:textAlignment w:val="bottom"/>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本单位2024年无国有资本经营预算支出，此表为空表。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呼图壁县残疾人联合会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val="en-US" w:eastAsia="zh-CN"/>
              </w:rPr>
              <w:t>1.60</w:t>
            </w: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val="en-US" w:eastAsia="zh-CN"/>
              </w:rPr>
              <w:t>1.60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val="en-US" w:eastAsia="zh-CN"/>
              </w:rPr>
              <w:t>1.60</w:t>
            </w: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val="en-US" w:eastAsia="zh-CN"/>
              </w:rPr>
              <w:t>1.60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keepNext w:val="0"/>
        <w:keepLines w:val="0"/>
        <w:widowControl/>
        <w:suppressLineNumbers w:val="0"/>
        <w:jc w:val="left"/>
        <w:textAlignment w:val="bottom"/>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本单位2024年无</w:t>
      </w:r>
      <w:r>
        <w:rPr>
          <w:rFonts w:hint="eastAsia" w:ascii="仿宋" w:hAnsi="仿宋" w:eastAsia="仿宋" w:cs="仿宋"/>
          <w:b w:val="0"/>
          <w:bCs w:val="0"/>
          <w:color w:val="auto"/>
          <w:sz w:val="24"/>
          <w:szCs w:val="24"/>
          <w:highlight w:val="none"/>
          <w:lang w:val="en-US" w:eastAsia="zh-Hans"/>
        </w:rPr>
        <w:t>财政拨款</w:t>
      </w:r>
      <w:r>
        <w:rPr>
          <w:rFonts w:hint="eastAsia" w:ascii="仿宋" w:hAnsi="仿宋" w:eastAsia="仿宋" w:cs="仿宋"/>
          <w:b w:val="0"/>
          <w:bCs w:val="0"/>
          <w:color w:val="auto"/>
          <w:sz w:val="24"/>
          <w:szCs w:val="24"/>
          <w:highlight w:val="none"/>
          <w:lang w:val="en-US" w:eastAsia="zh-CN"/>
        </w:rPr>
        <w:t>“三公”经费支出，此表为空表。</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spacing w:line="600" w:lineRule="exact"/>
        <w:jc w:val="both"/>
        <w:rPr>
          <w:rFonts w:ascii="仿宋_GB2312" w:hAnsi="宋体" w:eastAsia="仿宋_GB2312"/>
          <w:color w:val="auto"/>
          <w:kern w:val="0"/>
          <w:sz w:val="32"/>
          <w:szCs w:val="32"/>
          <w:highlight w:val="none"/>
        </w:rPr>
      </w:pPr>
      <w:r>
        <w:rPr>
          <w:rFonts w:hint="eastAsia" w:ascii="仿宋" w:hAnsi="仿宋" w:eastAsia="仿宋" w:cs="仿宋"/>
          <w:b w:val="0"/>
          <w:bCs w:val="0"/>
          <w:color w:val="auto"/>
          <w:sz w:val="24"/>
          <w:szCs w:val="24"/>
          <w:highlight w:val="none"/>
          <w:lang w:val="en-US" w:eastAsia="zh-CN"/>
        </w:rPr>
        <w:t>本单位2024年无上年结转结余情况，此表为空表。</w:t>
      </w: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w:t>
      </w:r>
      <w:r>
        <w:rPr>
          <w:rFonts w:hint="eastAsia" w:ascii="黑体" w:hAnsi="黑体" w:eastAsia="黑体" w:cs="Times New Roman"/>
          <w:color w:val="auto"/>
          <w:kern w:val="0"/>
          <w:sz w:val="32"/>
          <w:szCs w:val="32"/>
          <w:highlight w:val="none"/>
          <w:lang w:eastAsia="zh-CN"/>
        </w:rPr>
        <w:t>4年呼图壁县残疾人联合会预算</w:t>
      </w:r>
      <w:r>
        <w:rPr>
          <w:rFonts w:hint="eastAsia" w:ascii="黑体" w:hAnsi="黑体" w:eastAsia="黑体"/>
          <w:color w:val="auto"/>
          <w:kern w:val="0"/>
          <w:sz w:val="32"/>
          <w:szCs w:val="32"/>
          <w:highlight w:val="none"/>
        </w:rPr>
        <w:t>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color w:val="auto"/>
          <w:kern w:val="0"/>
          <w:sz w:val="32"/>
          <w:szCs w:val="32"/>
          <w:highlight w:val="none"/>
        </w:rPr>
        <w:t>呼图壁县残疾人联合会</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rPr>
        <w:t>呼图壁县残疾人联合会</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rPr>
        <w:t>呼图壁县残疾人联合会</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156.04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156.04</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144万元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8.60万元</w:t>
      </w:r>
      <w:r>
        <w:rPr>
          <w:rFonts w:hint="eastAsia" w:ascii="仿宋_GB2312" w:hAnsi="宋体" w:eastAsia="仿宋_GB2312" w:cs="宋体"/>
          <w:color w:val="auto"/>
          <w:kern w:val="0"/>
          <w:sz w:val="32"/>
          <w:szCs w:val="32"/>
          <w:highlight w:val="none"/>
        </w:rPr>
        <w:t>。</w:t>
      </w:r>
    </w:p>
    <w:p>
      <w:pPr>
        <w:spacing w:line="560" w:lineRule="exact"/>
        <w:ind w:firstLine="640" w:firstLineChars="200"/>
        <w:rPr>
          <w:rFonts w:hint="eastAsia"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支出预算包括：</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240.47</w:t>
      </w:r>
      <w:r>
        <w:rPr>
          <w:rFonts w:hint="eastAsia" w:ascii="仿宋_GB2312" w:hAnsi="宋体" w:eastAsia="仿宋_GB2312" w:cs="宋体"/>
          <w:color w:val="auto"/>
          <w:kern w:val="0"/>
          <w:sz w:val="32"/>
          <w:szCs w:val="32"/>
          <w:highlight w:val="none"/>
        </w:rPr>
        <w:t>万元、医疗卫生健康支出</w:t>
      </w:r>
      <w:r>
        <w:rPr>
          <w:rFonts w:hint="eastAsia" w:ascii="仿宋_GB2312" w:hAnsi="宋体" w:eastAsia="仿宋_GB2312" w:cs="宋体"/>
          <w:color w:val="auto"/>
          <w:kern w:val="0"/>
          <w:sz w:val="32"/>
          <w:szCs w:val="32"/>
          <w:highlight w:val="none"/>
          <w:lang w:val="en-US" w:eastAsia="zh-CN"/>
        </w:rPr>
        <w:t>31.27</w:t>
      </w:r>
      <w:r>
        <w:rPr>
          <w:rFonts w:hint="eastAsia" w:ascii="仿宋_GB2312" w:hAnsi="宋体" w:eastAsia="仿宋_GB2312" w:cs="宋体"/>
          <w:color w:val="auto"/>
          <w:kern w:val="0"/>
          <w:sz w:val="32"/>
          <w:szCs w:val="32"/>
          <w:highlight w:val="none"/>
        </w:rPr>
        <w:t>万元、住房保障支出</w:t>
      </w:r>
      <w:r>
        <w:rPr>
          <w:rFonts w:hint="eastAsia" w:ascii="仿宋_GB2312" w:hAnsi="宋体" w:eastAsia="仿宋_GB2312" w:cs="宋体"/>
          <w:color w:val="auto"/>
          <w:kern w:val="0"/>
          <w:sz w:val="32"/>
          <w:szCs w:val="32"/>
          <w:highlight w:val="none"/>
          <w:lang w:val="en-US" w:eastAsia="zh-CN"/>
        </w:rPr>
        <w:t>36.90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color w:val="auto"/>
          <w:kern w:val="0"/>
          <w:sz w:val="32"/>
          <w:szCs w:val="32"/>
          <w:highlight w:val="none"/>
        </w:rPr>
        <w:t>呼图壁县残疾人联合会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呼图壁县残疾人联合会收入预算</w:t>
      </w:r>
      <w:r>
        <w:rPr>
          <w:rFonts w:hint="eastAsia" w:ascii="仿宋_GB2312" w:hAnsi="宋体" w:eastAsia="仿宋_GB2312" w:cs="宋体"/>
          <w:color w:val="auto"/>
          <w:kern w:val="0"/>
          <w:sz w:val="32"/>
          <w:szCs w:val="32"/>
          <w:highlight w:val="none"/>
          <w:lang w:val="en-US" w:eastAsia="zh-CN"/>
        </w:rPr>
        <w:t>156.04</w:t>
      </w:r>
      <w:r>
        <w:rPr>
          <w:rFonts w:hint="eastAsia" w:ascii="仿宋_GB2312" w:hAnsi="宋体" w:eastAsia="仿宋_GB2312" w:cs="宋体"/>
          <w:color w:val="auto"/>
          <w:kern w:val="0"/>
          <w:sz w:val="32"/>
          <w:szCs w:val="32"/>
          <w:highlight w:val="none"/>
        </w:rPr>
        <w:t>万元，其中：</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148.04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94.87</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9.92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6.28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8月退休1名四级调研员，调入1名一级主任科员，</w:t>
      </w:r>
      <w:r>
        <w:rPr>
          <w:rFonts w:hint="eastAsia" w:ascii="仿宋_GB2312" w:hAnsi="宋体" w:eastAsia="仿宋_GB2312" w:cs="宋体"/>
          <w:color w:val="auto"/>
          <w:kern w:val="0"/>
          <w:sz w:val="32"/>
          <w:szCs w:val="32"/>
          <w:highlight w:val="none"/>
          <w:lang w:eastAsia="zh-CN"/>
        </w:rPr>
        <w:t>工资社保住房公积金等减少</w:t>
      </w:r>
      <w:r>
        <w:rPr>
          <w:rFonts w:hint="eastAsia" w:ascii="仿宋_GB2312" w:hAnsi="宋体" w:eastAsia="仿宋_GB2312" w:cs="宋体"/>
          <w:color w:val="auto"/>
          <w:kern w:val="0"/>
          <w:sz w:val="32"/>
          <w:szCs w:val="32"/>
          <w:highlight w:val="none"/>
        </w:rPr>
        <w:t>。</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eastAsia="zh-Hans"/>
        </w:rPr>
        <w:t>安排的转移支付资金</w:t>
      </w:r>
      <w:r>
        <w:rPr>
          <w:rFonts w:hint="eastAsia" w:ascii="仿宋_GB2312" w:hAnsi="宋体" w:eastAsia="仿宋_GB2312" w:cs="宋体"/>
          <w:color w:val="auto"/>
          <w:kern w:val="0"/>
          <w:sz w:val="32"/>
          <w:szCs w:val="32"/>
          <w:highlight w:val="none"/>
          <w:lang w:val="en-US" w:eastAsia="zh-CN"/>
        </w:rPr>
        <w:t>8.00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5.13</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24</w:t>
      </w:r>
      <w:r>
        <w:rPr>
          <w:rFonts w:hint="eastAsia" w:ascii="仿宋_GB2312" w:hAnsi="宋体" w:eastAsia="仿宋_GB2312" w:cs="宋体"/>
          <w:color w:val="auto"/>
          <w:kern w:val="0"/>
          <w:sz w:val="32"/>
          <w:szCs w:val="32"/>
          <w:highlight w:val="none"/>
        </w:rPr>
        <w:t>.32万元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75.25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今年</w:t>
      </w:r>
      <w:r>
        <w:rPr>
          <w:rFonts w:hint="eastAsia" w:ascii="仿宋_GB2312" w:hAnsi="宋体" w:eastAsia="仿宋_GB2312" w:cs="宋体"/>
          <w:color w:val="auto"/>
          <w:kern w:val="0"/>
          <w:sz w:val="32"/>
          <w:szCs w:val="32"/>
          <w:highlight w:val="none"/>
          <w:lang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eastAsia="zh-Hans"/>
        </w:rPr>
        <w:t>安排的转移支付资金</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rPr>
        <w:t xml:space="preserve">   </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国有资本经营预算未安排。</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财政专户（教育收费）资金</w:t>
      </w:r>
      <w:r>
        <w:rPr>
          <w:rFonts w:hint="eastAsia" w:ascii="仿宋_GB2312" w:hAnsi="宋体" w:eastAsia="仿宋_GB2312" w:cs="宋体"/>
          <w:color w:val="auto"/>
          <w:kern w:val="0"/>
          <w:sz w:val="32"/>
          <w:szCs w:val="32"/>
          <w:highlight w:val="none"/>
          <w:lang w:eastAsia="zh-CN"/>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单位资金</w:t>
      </w:r>
      <w:r>
        <w:rPr>
          <w:rFonts w:hint="eastAsia" w:ascii="仿宋_GB2312" w:hAnsi="宋体" w:eastAsia="仿宋_GB2312" w:cs="宋体"/>
          <w:color w:val="auto"/>
          <w:kern w:val="0"/>
          <w:sz w:val="32"/>
          <w:szCs w:val="32"/>
          <w:highlight w:val="none"/>
          <w:lang w:val="en-US" w:eastAsia="zh-CN"/>
        </w:rPr>
        <w:t>144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92.28</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58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28.71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rPr>
        <w:t>年单位资金</w:t>
      </w:r>
      <w:r>
        <w:rPr>
          <w:rFonts w:hint="eastAsia" w:ascii="仿宋_GB2312" w:hAnsi="宋体" w:eastAsia="仿宋_GB2312" w:cs="宋体"/>
          <w:color w:val="auto"/>
          <w:kern w:val="0"/>
          <w:sz w:val="32"/>
          <w:szCs w:val="32"/>
          <w:highlight w:val="none"/>
          <w:lang w:eastAsia="zh-CN"/>
        </w:rPr>
        <w:t>未列支项目资金支出。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专项资金</w:t>
      </w:r>
      <w:r>
        <w:rPr>
          <w:rFonts w:hint="eastAsia" w:ascii="仿宋_GB2312" w:hAnsi="宋体" w:eastAsia="仿宋_GB2312" w:cs="宋体"/>
          <w:color w:val="auto"/>
          <w:kern w:val="0"/>
          <w:sz w:val="32"/>
          <w:szCs w:val="32"/>
          <w:highlight w:val="none"/>
          <w:lang w:val="en-US" w:eastAsia="zh-Hans"/>
        </w:rPr>
        <w:t>结转</w:t>
      </w:r>
      <w:r>
        <w:rPr>
          <w:rFonts w:hint="eastAsia" w:ascii="仿宋_GB2312" w:hAnsi="宋体" w:eastAsia="仿宋_GB2312" w:cs="宋体"/>
          <w:color w:val="auto"/>
          <w:kern w:val="0"/>
          <w:sz w:val="32"/>
          <w:szCs w:val="32"/>
          <w:highlight w:val="none"/>
          <w:lang w:val="en-US" w:eastAsia="zh-CN"/>
        </w:rPr>
        <w:t>8.60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5.51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8.60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2023年12月底下达项目文件，根据工作进度支付项目资金。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三、关于呼图壁县残疾人联合会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呼图壁县残疾人联合会</w:t>
      </w:r>
      <w:r>
        <w:rPr>
          <w:rFonts w:hint="eastAsia" w:ascii="仿宋_GB2312" w:hAnsi="宋体" w:eastAsia="仿宋_GB2312" w:cs="宋体"/>
          <w:color w:val="auto"/>
          <w:kern w:val="0"/>
          <w:sz w:val="32"/>
          <w:szCs w:val="32"/>
          <w:highlight w:val="none"/>
          <w:lang w:eastAsia="zh-CN"/>
        </w:rPr>
        <w:t>2024</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308.64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rPr>
        <w:t>，其中：</w:t>
      </w:r>
    </w:p>
    <w:p>
      <w:pPr>
        <w:spacing w:line="560" w:lineRule="exact"/>
        <w:ind w:firstLine="640" w:firstLineChars="200"/>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292.04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94.62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138.08</w:t>
      </w:r>
      <w:r>
        <w:rPr>
          <w:rFonts w:hint="eastAsia" w:ascii="仿宋_GB2312" w:hAnsi="宋体" w:eastAsia="仿宋_GB2312" w:cs="宋体"/>
          <w:color w:val="auto"/>
          <w:kern w:val="0"/>
          <w:sz w:val="32"/>
          <w:szCs w:val="32"/>
          <w:highlight w:val="none"/>
        </w:rPr>
        <w:t>万元，增长</w:t>
      </w:r>
      <w:r>
        <w:rPr>
          <w:rFonts w:hint="eastAsia" w:ascii="仿宋_GB2312" w:hAnsi="宋体" w:eastAsia="仿宋_GB2312" w:cs="宋体"/>
          <w:color w:val="auto"/>
          <w:kern w:val="0"/>
          <w:sz w:val="32"/>
          <w:szCs w:val="32"/>
          <w:highlight w:val="none"/>
          <w:lang w:val="en-US" w:eastAsia="zh-CN"/>
        </w:rPr>
        <w:t>89.69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2024</w:t>
      </w:r>
      <w:r>
        <w:rPr>
          <w:rFonts w:hint="eastAsia" w:ascii="仿宋_GB2312" w:hAnsi="宋体" w:eastAsia="仿宋_GB2312" w:cs="宋体"/>
          <w:color w:val="auto"/>
          <w:kern w:val="0"/>
          <w:sz w:val="32"/>
          <w:szCs w:val="32"/>
          <w:highlight w:val="none"/>
        </w:rPr>
        <w:t>年调增了基本工资</w:t>
      </w:r>
      <w:r>
        <w:rPr>
          <w:rFonts w:hint="eastAsia" w:ascii="仿宋_GB2312" w:hAnsi="宋体" w:eastAsia="仿宋_GB2312" w:cs="宋体"/>
          <w:color w:val="auto"/>
          <w:kern w:val="0"/>
          <w:sz w:val="32"/>
          <w:szCs w:val="32"/>
          <w:highlight w:val="none"/>
          <w:lang w:eastAsia="zh-CN"/>
        </w:rPr>
        <w:t>和基础性绩效，</w:t>
      </w:r>
      <w:r>
        <w:rPr>
          <w:rFonts w:hint="eastAsia" w:ascii="仿宋_GB2312" w:hAnsi="宋体" w:eastAsia="仿宋_GB2312" w:cs="宋体"/>
          <w:color w:val="auto"/>
          <w:kern w:val="0"/>
          <w:sz w:val="32"/>
          <w:szCs w:val="32"/>
          <w:highlight w:val="none"/>
          <w:lang w:val="en-US" w:eastAsia="zh-CN"/>
        </w:rPr>
        <w:t>2023年8月调入1人一级主任科员等。</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16.60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5.38</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221.72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下降93.34</w:t>
      </w:r>
      <w:r>
        <w:rPr>
          <w:rFonts w:hint="eastAsia" w:ascii="仿宋_GB2312" w:hAnsi="宋体" w:eastAsia="仿宋_GB2312" w:cs="宋体"/>
          <w:color w:val="auto"/>
          <w:kern w:val="0"/>
          <w:sz w:val="32"/>
          <w:szCs w:val="32"/>
          <w:highlight w:val="none"/>
        </w:rPr>
        <w:t>%，主要原因是残疾人托养中心项目资金</w:t>
      </w:r>
      <w:r>
        <w:rPr>
          <w:rFonts w:hint="eastAsia" w:ascii="仿宋_GB2312" w:hAnsi="宋体" w:eastAsia="仿宋_GB2312" w:cs="宋体"/>
          <w:color w:val="auto"/>
          <w:kern w:val="0"/>
          <w:sz w:val="32"/>
          <w:szCs w:val="32"/>
          <w:highlight w:val="none"/>
          <w:lang w:eastAsia="zh-CN"/>
        </w:rPr>
        <w:t>和其他残疾人事业支出项目减少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rPr>
        <w:t>呼图壁县残疾人联合会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164.64</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收支预算包括：一般公共预算拨款</w:t>
      </w:r>
      <w:r>
        <w:rPr>
          <w:rFonts w:hint="eastAsia" w:ascii="仿宋_GB2312" w:hAnsi="宋体" w:eastAsia="仿宋_GB2312" w:cs="宋体"/>
          <w:color w:val="auto"/>
          <w:kern w:val="0"/>
          <w:sz w:val="32"/>
          <w:szCs w:val="32"/>
          <w:highlight w:val="none"/>
          <w:lang w:val="en-US" w:eastAsia="zh-CN"/>
        </w:rPr>
        <w:t>164.64</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hint="eastAsia" w:ascii="楷体_GB2312" w:hAnsi="楷体_GB2312" w:eastAsia="仿宋_GB2312" w:cs="楷体_GB2312"/>
          <w:b/>
          <w:bCs/>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一般公共预算支出包括：社会保障和就业支出</w:t>
      </w:r>
      <w:r>
        <w:rPr>
          <w:rFonts w:hint="eastAsia" w:ascii="仿宋_GB2312" w:hAnsi="宋体" w:eastAsia="仿宋_GB2312" w:cs="宋体"/>
          <w:color w:val="auto"/>
          <w:kern w:val="0"/>
          <w:sz w:val="32"/>
          <w:szCs w:val="32"/>
          <w:highlight w:val="none"/>
          <w:lang w:val="en-US" w:eastAsia="zh-CN"/>
        </w:rPr>
        <w:t>143.47</w:t>
      </w:r>
      <w:r>
        <w:rPr>
          <w:rFonts w:hint="eastAsia" w:ascii="仿宋_GB2312" w:hAnsi="宋体" w:eastAsia="仿宋_GB2312" w:cs="宋体"/>
          <w:color w:val="auto"/>
          <w:kern w:val="0"/>
          <w:sz w:val="32"/>
          <w:szCs w:val="32"/>
          <w:highlight w:val="none"/>
        </w:rPr>
        <w:t>万元，主要用于机关事业单位养老保险、离休人员工资支出；卫生健康支出</w:t>
      </w:r>
      <w:r>
        <w:rPr>
          <w:rFonts w:hint="eastAsia" w:ascii="仿宋_GB2312" w:hAnsi="宋体" w:eastAsia="仿宋_GB2312" w:cs="宋体"/>
          <w:color w:val="auto"/>
          <w:kern w:val="0"/>
          <w:sz w:val="32"/>
          <w:szCs w:val="32"/>
          <w:highlight w:val="none"/>
          <w:lang w:val="en-US" w:eastAsia="zh-CN"/>
        </w:rPr>
        <w:t>9.27</w:t>
      </w:r>
      <w:r>
        <w:rPr>
          <w:rFonts w:hint="eastAsia" w:ascii="仿宋_GB2312" w:hAnsi="宋体" w:eastAsia="仿宋_GB2312" w:cs="宋体"/>
          <w:color w:val="auto"/>
          <w:kern w:val="0"/>
          <w:sz w:val="32"/>
          <w:szCs w:val="32"/>
          <w:highlight w:val="none"/>
        </w:rPr>
        <w:t>万元，主要用于行政单位医疗、公务员医疗补助和退休人员大病保险支出；住房保障支出</w:t>
      </w:r>
      <w:r>
        <w:rPr>
          <w:rFonts w:hint="eastAsia" w:ascii="仿宋_GB2312" w:hAnsi="宋体" w:eastAsia="仿宋_GB2312" w:cs="宋体"/>
          <w:color w:val="auto"/>
          <w:kern w:val="0"/>
          <w:sz w:val="32"/>
          <w:szCs w:val="32"/>
          <w:highlight w:val="none"/>
          <w:lang w:val="en-US" w:eastAsia="zh-CN"/>
        </w:rPr>
        <w:t>11.90</w:t>
      </w:r>
      <w:r>
        <w:rPr>
          <w:rFonts w:hint="eastAsia" w:ascii="仿宋_GB2312" w:hAnsi="宋体" w:eastAsia="仿宋_GB2312" w:cs="宋体"/>
          <w:color w:val="auto"/>
          <w:kern w:val="0"/>
          <w:sz w:val="32"/>
          <w:szCs w:val="32"/>
          <w:highlight w:val="none"/>
        </w:rPr>
        <w:t>万元，主要用于住房公积金支出</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rPr>
        <w:t>呼图壁县残疾人联合会</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呼图壁县残疾人联合会</w:t>
      </w:r>
      <w:r>
        <w:rPr>
          <w:rFonts w:hint="eastAsia" w:ascii="仿宋_GB2312" w:hAnsi="仿宋_GB2312" w:eastAsia="仿宋_GB2312" w:cs="仿宋_GB2312"/>
          <w:color w:val="auto"/>
          <w:kern w:val="0"/>
          <w:sz w:val="32"/>
          <w:szCs w:val="32"/>
          <w:highlight w:val="none"/>
          <w:lang w:eastAsia="zh-CN"/>
        </w:rPr>
        <w:t>2024</w:t>
      </w:r>
      <w:r>
        <w:rPr>
          <w:rFonts w:hint="eastAsia" w:ascii="仿宋_GB2312" w:hAnsi="仿宋_GB2312" w:eastAsia="仿宋_GB2312" w:cs="仿宋_GB2312"/>
          <w:color w:val="auto"/>
          <w:kern w:val="0"/>
          <w:sz w:val="32"/>
          <w:szCs w:val="32"/>
          <w:highlight w:val="none"/>
        </w:rPr>
        <w:t>年一般公共预算拨款合计</w:t>
      </w:r>
      <w:r>
        <w:rPr>
          <w:rFonts w:hint="eastAsia" w:ascii="仿宋_GB2312" w:hAnsi="宋体" w:eastAsia="仿宋_GB2312" w:cs="宋体"/>
          <w:color w:val="auto"/>
          <w:kern w:val="0"/>
          <w:sz w:val="32"/>
          <w:szCs w:val="32"/>
          <w:highlight w:val="none"/>
          <w:lang w:val="en-US" w:eastAsia="zh-CN"/>
        </w:rPr>
        <w:t>164.64</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148.04</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5.92</w:t>
      </w:r>
      <w:r>
        <w:rPr>
          <w:rFonts w:hint="eastAsia" w:ascii="仿宋_GB2312" w:hAnsi="仿宋_GB2312" w:eastAsia="仿宋_GB2312" w:cs="仿宋_GB2312"/>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3.85</w:t>
      </w:r>
      <w:r>
        <w:rPr>
          <w:rFonts w:hint="eastAsia" w:ascii="仿宋_GB2312" w:hAnsi="宋体" w:eastAsia="仿宋_GB2312" w:cs="宋体"/>
          <w:color w:val="auto"/>
          <w:kern w:val="0"/>
          <w:sz w:val="32"/>
          <w:szCs w:val="32"/>
          <w:highlight w:val="none"/>
        </w:rPr>
        <w:t>%，</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是</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8月有1名三级调研员退休，7月调入1名一级主任科员，8月调出一名九级职员。</w:t>
      </w:r>
    </w:p>
    <w:p>
      <w:pPr>
        <w:spacing w:line="560" w:lineRule="exact"/>
        <w:ind w:firstLine="640" w:firstLineChars="200"/>
        <w:rPr>
          <w:rFonts w:hint="eastAsia" w:ascii="楷体_GB2312" w:hAnsi="楷体_GB2312" w:eastAsia="楷体_GB2312" w:cs="楷体_GB2312"/>
          <w:b/>
          <w:bCs/>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16.60</w:t>
      </w:r>
      <w:r>
        <w:rPr>
          <w:rFonts w:hint="eastAsia" w:ascii="仿宋_GB2312" w:hAnsi="宋体" w:eastAsia="仿宋_GB2312" w:cs="宋体"/>
          <w:color w:val="auto"/>
          <w:kern w:val="0"/>
          <w:sz w:val="32"/>
          <w:szCs w:val="32"/>
          <w:highlight w:val="none"/>
        </w:rPr>
        <w:t>万元，比上年预算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19.72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54.30</w:t>
      </w:r>
      <w:r>
        <w:rPr>
          <w:rFonts w:hint="eastAsia" w:ascii="仿宋_GB2312" w:hAnsi="宋体" w:eastAsia="仿宋_GB2312" w:cs="宋体"/>
          <w:color w:val="auto"/>
          <w:kern w:val="0"/>
          <w:sz w:val="32"/>
          <w:szCs w:val="32"/>
          <w:highlight w:val="none"/>
        </w:rPr>
        <w:t>%，主要原因是残疾人托养中心项目资金</w:t>
      </w:r>
      <w:r>
        <w:rPr>
          <w:rFonts w:hint="eastAsia" w:ascii="仿宋_GB2312" w:hAnsi="宋体" w:eastAsia="仿宋_GB2312" w:cs="宋体"/>
          <w:color w:val="auto"/>
          <w:kern w:val="0"/>
          <w:sz w:val="32"/>
          <w:szCs w:val="32"/>
          <w:highlight w:val="none"/>
          <w:lang w:eastAsia="zh-CN"/>
        </w:rPr>
        <w:t>和其他残疾人项目资金减少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b/>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（二）一般公共预算当年拨款结构情况</w:t>
      </w:r>
      <w:r>
        <w:rPr>
          <w:rFonts w:hint="eastAsia" w:ascii="仿宋_GB2312" w:hAnsi="仿宋_GB2312" w:eastAsia="仿宋_GB2312" w:cs="仿宋_GB2312"/>
          <w:b/>
          <w:color w:val="auto"/>
          <w:kern w:val="0"/>
          <w:sz w:val="32"/>
          <w:szCs w:val="32"/>
          <w:highlight w:val="none"/>
          <w:lang w:val="en-US" w:eastAsia="zh-CN"/>
        </w:rPr>
        <w:t>164.64</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1.社会保障和就业支出（类）：</w:t>
      </w:r>
      <w:r>
        <w:rPr>
          <w:rFonts w:hint="eastAsia" w:ascii="仿宋_GB2312" w:hAnsi="仿宋_GB2312" w:eastAsia="仿宋_GB2312" w:cs="仿宋_GB2312"/>
          <w:color w:val="auto"/>
          <w:kern w:val="0"/>
          <w:sz w:val="32"/>
          <w:szCs w:val="32"/>
          <w:highlight w:val="none"/>
          <w:lang w:val="en-US" w:eastAsia="zh-CN"/>
        </w:rPr>
        <w:t>126.87</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77.05</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2、卫生健康支出（类）：</w:t>
      </w:r>
      <w:r>
        <w:rPr>
          <w:rFonts w:hint="eastAsia" w:ascii="仿宋_GB2312" w:hAnsi="仿宋_GB2312" w:eastAsia="仿宋_GB2312" w:cs="仿宋_GB2312"/>
          <w:color w:val="auto"/>
          <w:kern w:val="0"/>
          <w:sz w:val="32"/>
          <w:szCs w:val="32"/>
          <w:highlight w:val="none"/>
          <w:lang w:val="en-US" w:eastAsia="zh-CN"/>
        </w:rPr>
        <w:t>9.27</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5.63</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3、残疾人事业（类）：</w:t>
      </w:r>
      <w:r>
        <w:rPr>
          <w:rFonts w:hint="eastAsia" w:ascii="仿宋_GB2312" w:hAnsi="仿宋_GB2312" w:eastAsia="仿宋_GB2312" w:cs="仿宋_GB2312"/>
          <w:color w:val="auto"/>
          <w:kern w:val="0"/>
          <w:sz w:val="32"/>
          <w:szCs w:val="32"/>
          <w:highlight w:val="none"/>
          <w:lang w:val="en-US" w:eastAsia="zh-CN"/>
        </w:rPr>
        <w:t>16.60</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10.08</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4、住房保障支出（类）：</w:t>
      </w:r>
      <w:r>
        <w:rPr>
          <w:rFonts w:hint="eastAsia" w:ascii="仿宋_GB2312" w:hAnsi="仿宋_GB2312" w:eastAsia="仿宋_GB2312" w:cs="仿宋_GB2312"/>
          <w:color w:val="auto"/>
          <w:kern w:val="0"/>
          <w:sz w:val="32"/>
          <w:szCs w:val="32"/>
          <w:highlight w:val="none"/>
          <w:lang w:val="en-US" w:eastAsia="zh-CN"/>
        </w:rPr>
        <w:t>11.90</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7.24</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1、社会保障和就业支出（208类）行政事业单位养老支出（05款）机关事业单位基本养老保险缴费支出（05项）:</w:t>
      </w:r>
      <w:r>
        <w:rPr>
          <w:rFonts w:hint="eastAsia" w:ascii="仿宋_GB2312" w:hAnsi="仿宋_GB2312" w:eastAsia="仿宋_GB2312" w:cs="仿宋_GB2312"/>
          <w:color w:val="auto"/>
          <w:kern w:val="0"/>
          <w:sz w:val="32"/>
          <w:szCs w:val="32"/>
          <w:highlight w:val="none"/>
          <w:lang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14.47</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0.71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4.68</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8月有1名三级调研员退休，7月调入1名一级主任科员，8月调出一名九级职员。</w:t>
      </w:r>
    </w:p>
    <w:p>
      <w:pPr>
        <w:spacing w:line="560" w:lineRule="exact"/>
        <w:ind w:firstLine="640" w:firstLineChars="200"/>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2.社会保障和就业支出（208类）残疾人事业（11款）行政运行（01项）:</w:t>
      </w:r>
      <w:r>
        <w:rPr>
          <w:rFonts w:hint="eastAsia" w:ascii="仿宋_GB2312" w:hAnsi="仿宋_GB2312" w:eastAsia="仿宋_GB2312" w:cs="仿宋_GB2312"/>
          <w:color w:val="auto"/>
          <w:kern w:val="0"/>
          <w:sz w:val="32"/>
          <w:szCs w:val="32"/>
          <w:highlight w:val="none"/>
          <w:lang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105.92</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6.9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6.12</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8月有1名三级调研员退休，7月调入1名一级主任科员，8月调出一名九级职员。</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3.社会保障和就业支出（208类）残疾人事业（11款）残疾人康复（04项）:</w:t>
      </w:r>
      <w:r>
        <w:rPr>
          <w:rFonts w:hint="eastAsia" w:ascii="仿宋_GB2312" w:hAnsi="仿宋_GB2312" w:eastAsia="仿宋_GB2312" w:cs="仿宋_GB2312"/>
          <w:color w:val="auto"/>
          <w:kern w:val="0"/>
          <w:sz w:val="32"/>
          <w:szCs w:val="32"/>
          <w:highlight w:val="none"/>
          <w:lang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2024</w:t>
      </w:r>
      <w:r>
        <w:rPr>
          <w:rFonts w:hint="eastAsia" w:ascii="仿宋_GB2312" w:hAnsi="仿宋_GB2312" w:eastAsia="仿宋_GB2312" w:cs="仿宋_GB2312"/>
          <w:color w:val="auto"/>
          <w:kern w:val="0"/>
          <w:sz w:val="32"/>
          <w:szCs w:val="32"/>
          <w:highlight w:val="none"/>
        </w:rPr>
        <w:t>年符合非定额</w:t>
      </w:r>
      <w:r>
        <w:rPr>
          <w:rFonts w:hint="eastAsia" w:ascii="仿宋_GB2312" w:hAnsi="仿宋_GB2312" w:eastAsia="仿宋_GB2312" w:cs="仿宋_GB2312"/>
          <w:color w:val="auto"/>
          <w:kern w:val="0"/>
          <w:sz w:val="32"/>
          <w:szCs w:val="32"/>
          <w:highlight w:val="none"/>
          <w:lang w:val="en-US" w:eastAsia="zh-CN"/>
        </w:rPr>
        <w:t>项目增加</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4..社会保障和就业支出（208类）残疾人事业（11款）</w:t>
      </w:r>
      <w:r>
        <w:rPr>
          <w:rFonts w:hint="eastAsia" w:ascii="仿宋_GB2312" w:hAnsi="仿宋_GB2312" w:eastAsia="仿宋_GB2312" w:cs="仿宋_GB2312"/>
          <w:color w:val="auto"/>
          <w:kern w:val="0"/>
          <w:sz w:val="32"/>
          <w:szCs w:val="32"/>
          <w:highlight w:val="none"/>
          <w:lang w:eastAsia="zh-CN"/>
        </w:rPr>
        <w:t>残疾人就业</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8.6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8.6</w:t>
      </w:r>
      <w:r>
        <w:rPr>
          <w:rFonts w:hint="eastAsia" w:ascii="仿宋_GB2312" w:hAnsi="仿宋_GB2312" w:eastAsia="仿宋_GB2312" w:cs="仿宋_GB2312"/>
          <w:color w:val="auto"/>
          <w:kern w:val="0"/>
          <w:sz w:val="32"/>
          <w:szCs w:val="32"/>
          <w:highlight w:val="none"/>
        </w:rPr>
        <w:t>万元，增加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2024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有残疾人就业项目支出</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5.卫生健康支出（210类）行政事业单位医疗（11款）行政单位医疗（01项）：</w:t>
      </w:r>
      <w:r>
        <w:rPr>
          <w:rFonts w:hint="eastAsia" w:ascii="仿宋_GB2312" w:hAnsi="仿宋_GB2312" w:eastAsia="仿宋_GB2312" w:cs="仿宋_GB2312"/>
          <w:color w:val="auto"/>
          <w:kern w:val="0"/>
          <w:sz w:val="32"/>
          <w:szCs w:val="32"/>
          <w:highlight w:val="none"/>
          <w:lang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3.87</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6.91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64.10</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是：</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8月有1名三级调研员退休，7月调入1名一级主任科员，8月调出一名九级职员。</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.卫生健康支出（210类）行政事业单位医疗（11款）</w:t>
      </w:r>
      <w:r>
        <w:rPr>
          <w:rFonts w:hint="eastAsia" w:ascii="仿宋_GB2312" w:hAnsi="仿宋_GB2312" w:eastAsia="仿宋_GB2312" w:cs="仿宋_GB2312"/>
          <w:color w:val="auto"/>
          <w:kern w:val="0"/>
          <w:sz w:val="32"/>
          <w:szCs w:val="32"/>
          <w:highlight w:val="none"/>
          <w:lang w:eastAsia="zh-CN"/>
        </w:rPr>
        <w:t>事业单位医疗</w:t>
      </w:r>
      <w:r>
        <w:rPr>
          <w:rFonts w:hint="eastAsia" w:ascii="仿宋_GB2312" w:hAnsi="仿宋_GB2312" w:eastAsia="仿宋_GB2312" w:cs="仿宋_GB2312"/>
          <w:color w:val="auto"/>
          <w:kern w:val="0"/>
          <w:sz w:val="32"/>
          <w:szCs w:val="32"/>
          <w:highlight w:val="none"/>
        </w:rPr>
        <w:t>（0</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3.36</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3.36</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是</w:t>
      </w:r>
      <w:r>
        <w:rPr>
          <w:rFonts w:hint="eastAsia" w:ascii="仿宋_GB2312" w:hAnsi="宋体" w:eastAsia="仿宋_GB2312" w:cs="宋体"/>
          <w:color w:val="auto"/>
          <w:kern w:val="0"/>
          <w:sz w:val="32"/>
          <w:szCs w:val="32"/>
          <w:highlight w:val="none"/>
          <w:lang w:val="en-US" w:eastAsia="zh-CN"/>
        </w:rPr>
        <w:t>2023年行政和事业的</w:t>
      </w:r>
      <w:r>
        <w:rPr>
          <w:rFonts w:hint="eastAsia" w:ascii="仿宋_GB2312" w:hAnsi="仿宋_GB2312" w:eastAsia="仿宋_GB2312" w:cs="仿宋_GB2312"/>
          <w:color w:val="auto"/>
          <w:kern w:val="0"/>
          <w:sz w:val="32"/>
          <w:szCs w:val="32"/>
          <w:highlight w:val="none"/>
        </w:rPr>
        <w:t>单位医疗</w:t>
      </w:r>
      <w:r>
        <w:rPr>
          <w:rFonts w:hint="eastAsia" w:ascii="仿宋_GB2312" w:hAnsi="仿宋_GB2312" w:eastAsia="仿宋_GB2312" w:cs="仿宋_GB2312"/>
          <w:color w:val="auto"/>
          <w:kern w:val="0"/>
          <w:sz w:val="32"/>
          <w:szCs w:val="32"/>
          <w:highlight w:val="none"/>
          <w:lang w:val="en-US" w:eastAsia="zh-CN"/>
        </w:rPr>
        <w:t>2023年行政和事业医疗保险单位部分均列2101102款，根据2024年预算安排，将行政和事业医疗保险单位部分开列入2024年预算。</w:t>
      </w:r>
    </w:p>
    <w:p>
      <w:pPr>
        <w:spacing w:line="560" w:lineRule="exact"/>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.卫生健康支出（210类）行政事业单位医疗（11款）公务员医疗补助（03项）：</w:t>
      </w:r>
      <w:r>
        <w:rPr>
          <w:rFonts w:hint="eastAsia" w:ascii="仿宋_GB2312" w:hAnsi="仿宋_GB2312" w:eastAsia="仿宋_GB2312" w:cs="仿宋_GB2312"/>
          <w:color w:val="auto"/>
          <w:kern w:val="0"/>
          <w:sz w:val="32"/>
          <w:szCs w:val="32"/>
          <w:highlight w:val="none"/>
          <w:lang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1.99</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0.97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32.77</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是：</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8月有1名三级调研员退休，7月调入1名一级主任科员，8月调出一名九级职员。</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rPr>
        <w:t>.卫生健康支出（210类）行政事业单位医疗（11款）其他行政事业单位医疗支出（99项）：</w:t>
      </w:r>
      <w:r>
        <w:rPr>
          <w:rFonts w:hint="eastAsia" w:ascii="仿宋_GB2312" w:hAnsi="仿宋_GB2312" w:eastAsia="仿宋_GB2312" w:cs="仿宋_GB2312"/>
          <w:color w:val="auto"/>
          <w:kern w:val="0"/>
          <w:sz w:val="32"/>
          <w:szCs w:val="32"/>
          <w:highlight w:val="none"/>
          <w:lang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0.05</w:t>
      </w:r>
      <w:r>
        <w:rPr>
          <w:rFonts w:hint="eastAsia" w:ascii="仿宋_GB2312" w:hAnsi="仿宋_GB2312" w:eastAsia="仿宋_GB2312" w:cs="仿宋_GB2312"/>
          <w:color w:val="auto"/>
          <w:kern w:val="0"/>
          <w:sz w:val="32"/>
          <w:szCs w:val="32"/>
          <w:highlight w:val="none"/>
        </w:rPr>
        <w:t>万元，比上年预算增长0.0</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66.67</w:t>
      </w:r>
      <w:r>
        <w:rPr>
          <w:rFonts w:hint="eastAsia" w:ascii="仿宋_GB2312" w:hAnsi="仿宋_GB2312" w:eastAsia="仿宋_GB2312" w:cs="仿宋_GB2312"/>
          <w:color w:val="auto"/>
          <w:kern w:val="0"/>
          <w:sz w:val="32"/>
          <w:szCs w:val="32"/>
          <w:highlight w:val="none"/>
        </w:rPr>
        <w:t>%，主要原因是人员工资增资，基数调整，导致人员经费预算增加。</w:t>
      </w:r>
    </w:p>
    <w:p>
      <w:pPr>
        <w:spacing w:line="560" w:lineRule="exact"/>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9</w:t>
      </w:r>
      <w:r>
        <w:rPr>
          <w:rFonts w:hint="eastAsia" w:ascii="仿宋_GB2312" w:hAnsi="仿宋_GB2312" w:eastAsia="仿宋_GB2312" w:cs="仿宋_GB2312"/>
          <w:color w:val="auto"/>
          <w:kern w:val="0"/>
          <w:sz w:val="32"/>
          <w:szCs w:val="32"/>
          <w:highlight w:val="none"/>
        </w:rPr>
        <w:t>.住房保障支出（221类）住房改革支出（02款）住房公积金（01项）：</w:t>
      </w:r>
      <w:r>
        <w:rPr>
          <w:rFonts w:hint="eastAsia" w:ascii="仿宋_GB2312" w:hAnsi="仿宋_GB2312" w:eastAsia="仿宋_GB2312" w:cs="仿宋_GB2312"/>
          <w:color w:val="auto"/>
          <w:kern w:val="0"/>
          <w:sz w:val="32"/>
          <w:szCs w:val="32"/>
          <w:highlight w:val="none"/>
          <w:lang w:eastAsia="zh-CN"/>
        </w:rPr>
        <w:t>2024</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11.9</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0.29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2.38</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是：</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8月有1名三级调研员退休，7月调入1名一级主任科员，8月调出一名九级职员。</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rPr>
        <w:t>呼图壁县残疾人联合会</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spacing w:line="560" w:lineRule="exact"/>
        <w:ind w:firstLine="640" w:firstLineChars="200"/>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rPr>
        <w:t>呼图壁县残疾人联合会</w:t>
      </w:r>
      <w:r>
        <w:rPr>
          <w:rFonts w:hint="eastAsia" w:ascii="仿宋_GB2312" w:hAnsi="宋体" w:eastAsia="仿宋_GB2312" w:cs="宋体"/>
          <w:color w:val="auto"/>
          <w:spacing w:val="-6"/>
          <w:kern w:val="0"/>
          <w:sz w:val="32"/>
          <w:szCs w:val="32"/>
          <w:highlight w:val="none"/>
        </w:rPr>
        <w:t>202</w:t>
      </w:r>
      <w:r>
        <w:rPr>
          <w:rFonts w:hint="eastAsia" w:ascii="仿宋_GB2312" w:hAnsi="宋体" w:eastAsia="仿宋_GB2312" w:cs="宋体"/>
          <w:color w:val="auto"/>
          <w:spacing w:val="-6"/>
          <w:kern w:val="0"/>
          <w:sz w:val="32"/>
          <w:szCs w:val="32"/>
          <w:highlight w:val="none"/>
          <w:lang w:val="en-US" w:eastAsia="zh-CN"/>
        </w:rPr>
        <w:t>4</w:t>
      </w:r>
      <w:r>
        <w:rPr>
          <w:rFonts w:hint="eastAsia" w:ascii="仿宋_GB2312" w:hAnsi="宋体" w:eastAsia="仿宋_GB2312" w:cs="宋体"/>
          <w:color w:val="auto"/>
          <w:spacing w:val="-6"/>
          <w:kern w:val="0"/>
          <w:sz w:val="32"/>
          <w:szCs w:val="32"/>
          <w:highlight w:val="none"/>
        </w:rPr>
        <w:t>年一般公共预算基本支出</w:t>
      </w:r>
      <w:r>
        <w:rPr>
          <w:rFonts w:hint="eastAsia" w:ascii="仿宋_GB2312" w:hAnsi="宋体" w:eastAsia="仿宋_GB2312" w:cs="宋体"/>
          <w:color w:val="auto"/>
          <w:spacing w:val="-6"/>
          <w:kern w:val="0"/>
          <w:sz w:val="32"/>
          <w:szCs w:val="32"/>
          <w:highlight w:val="none"/>
          <w:lang w:val="en-US" w:eastAsia="zh-CN"/>
        </w:rPr>
        <w:t>148.04</w:t>
      </w:r>
      <w:r>
        <w:rPr>
          <w:rFonts w:hint="eastAsia" w:ascii="仿宋_GB2312" w:hAnsi="宋体" w:eastAsia="仿宋_GB2312" w:cs="宋体"/>
          <w:color w:val="auto"/>
          <w:spacing w:val="-6"/>
          <w:kern w:val="0"/>
          <w:sz w:val="32"/>
          <w:szCs w:val="32"/>
          <w:highlight w:val="none"/>
        </w:rPr>
        <w:t>万元， 其中：</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sz w:val="32"/>
          <w:szCs w:val="32"/>
          <w:highlight w:val="none"/>
        </w:rPr>
        <w:t>人员经费</w:t>
      </w:r>
      <w:r>
        <w:rPr>
          <w:rFonts w:hint="eastAsia" w:ascii="仿宋_GB2312" w:hAnsi="宋体" w:eastAsia="仿宋_GB2312" w:cs="宋体"/>
          <w:color w:val="auto"/>
          <w:spacing w:val="-6"/>
          <w:kern w:val="0"/>
          <w:sz w:val="32"/>
          <w:szCs w:val="32"/>
          <w:highlight w:val="none"/>
          <w:lang w:val="en-US" w:eastAsia="zh-CN"/>
        </w:rPr>
        <w:t>143.12</w:t>
      </w:r>
      <w:r>
        <w:rPr>
          <w:rFonts w:hint="eastAsia" w:ascii="仿宋_GB2312" w:hAnsi="宋体" w:eastAsia="仿宋_GB2312" w:cs="宋体"/>
          <w:color w:val="auto"/>
          <w:sz w:val="32"/>
          <w:szCs w:val="32"/>
          <w:highlight w:val="none"/>
        </w:rPr>
        <w:t>万元，主要包括：</w:t>
      </w:r>
      <w:r>
        <w:rPr>
          <w:rFonts w:hint="eastAsia" w:ascii="仿宋_GB2312" w:hAnsi="宋体" w:eastAsia="仿宋_GB2312" w:cs="宋体"/>
          <w:color w:val="auto"/>
          <w:kern w:val="0"/>
          <w:sz w:val="32"/>
          <w:szCs w:val="32"/>
          <w:highlight w:val="none"/>
        </w:rPr>
        <w:t>基本工资、津贴补贴、奖金、绩效工资、机关事业单位基本养老保险缴费、城镇职工基本医疗保险缴费、公务员医疗补助缴费、其他社会保障缴费、住房公积金、退休费、退休医疗费补助、奖励金。</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4.92</w:t>
      </w:r>
      <w:r>
        <w:rPr>
          <w:rFonts w:hint="eastAsia" w:ascii="仿宋_GB2312" w:hAnsi="宋体" w:eastAsia="仿宋_GB2312" w:cs="宋体"/>
          <w:color w:val="auto"/>
          <w:kern w:val="0"/>
          <w:sz w:val="32"/>
          <w:szCs w:val="32"/>
          <w:highlight w:val="none"/>
        </w:rPr>
        <w:t>万元，主要包括：办公费、邮电费、维修（护）费、工会经费、公务用车运行维护费。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rPr>
        <w:t>呼图壁县残疾人联合会</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1.项目</w:t>
      </w:r>
      <w:r>
        <w:rPr>
          <w:rFonts w:ascii="仿宋_GB2312" w:hAnsi="黑体" w:eastAsia="仿宋_GB2312"/>
          <w:color w:val="auto"/>
          <w:sz w:val="32"/>
          <w:szCs w:val="32"/>
          <w:highlight w:val="none"/>
        </w:rPr>
        <w:t>名</w:t>
      </w:r>
      <w:r>
        <w:rPr>
          <w:rFonts w:hint="eastAsia" w:ascii="仿宋_GB2312" w:hAnsi="黑体" w:eastAsia="仿宋_GB2312"/>
          <w:color w:val="auto"/>
          <w:sz w:val="32"/>
          <w:szCs w:val="32"/>
          <w:highlight w:val="none"/>
        </w:rPr>
        <w:t>称：</w:t>
      </w:r>
      <w:r>
        <w:rPr>
          <w:rFonts w:hint="eastAsia" w:ascii="仿宋_GB2312" w:hAnsi="黑体" w:eastAsia="仿宋_GB2312"/>
          <w:color w:val="auto"/>
          <w:sz w:val="32"/>
          <w:szCs w:val="32"/>
          <w:highlight w:val="none"/>
          <w:lang w:val="en-US" w:eastAsia="zh-CN"/>
        </w:rPr>
        <w:t>2024年自治区残疾人事业发展补助资金</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设立的政策依据：昌州财社（202</w:t>
      </w: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84</w:t>
      </w:r>
      <w:r>
        <w:rPr>
          <w:rFonts w:hint="eastAsia" w:ascii="仿宋_GB2312" w:hAnsi="黑体" w:eastAsia="仿宋_GB2312"/>
          <w:color w:val="auto"/>
          <w:sz w:val="32"/>
          <w:szCs w:val="32"/>
          <w:highlight w:val="none"/>
        </w:rPr>
        <w:t>号</w:t>
      </w:r>
    </w:p>
    <w:p>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呼图壁县残疾人联合会</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，主要用于残疾儿童康复救助、残疾人基本康复、社区康复协调员培训、残疾预防、宣传等、残疾人家庭无障碍改造等方面的支出。</w:t>
      </w:r>
    </w:p>
    <w:p>
      <w:pPr>
        <w:spacing w:line="560" w:lineRule="exact"/>
        <w:ind w:firstLine="640" w:firstLineChars="200"/>
        <w:rPr>
          <w:rFonts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年1月-202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年12月</w:t>
      </w:r>
    </w:p>
    <w:p>
      <w:pPr>
        <w:numPr>
          <w:ilvl w:val="0"/>
          <w:numId w:val="1"/>
        </w:numPr>
        <w:spacing w:line="560" w:lineRule="exact"/>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rPr>
        <w:t>项目名称：关于</w:t>
      </w:r>
      <w:r>
        <w:rPr>
          <w:rFonts w:hint="eastAsia" w:ascii="仿宋_GB2312" w:hAnsi="黑体" w:eastAsia="仿宋_GB2312"/>
          <w:color w:val="auto"/>
          <w:sz w:val="32"/>
          <w:szCs w:val="32"/>
          <w:highlight w:val="none"/>
          <w:lang w:eastAsia="zh-CN"/>
        </w:rPr>
        <w:t>拨付</w:t>
      </w:r>
      <w:r>
        <w:rPr>
          <w:rFonts w:hint="eastAsia" w:ascii="仿宋_GB2312" w:hAnsi="黑体" w:eastAsia="仿宋_GB2312"/>
          <w:color w:val="auto"/>
          <w:sz w:val="32"/>
          <w:szCs w:val="32"/>
          <w:highlight w:val="none"/>
        </w:rPr>
        <w:t>2023年残疾人</w:t>
      </w:r>
      <w:r>
        <w:rPr>
          <w:rFonts w:hint="eastAsia" w:ascii="仿宋_GB2312" w:hAnsi="黑体" w:eastAsia="仿宋_GB2312"/>
          <w:color w:val="auto"/>
          <w:sz w:val="32"/>
          <w:szCs w:val="32"/>
          <w:highlight w:val="none"/>
          <w:lang w:eastAsia="zh-CN"/>
        </w:rPr>
        <w:t>保障和关爱服务项目资金</w:t>
      </w:r>
    </w:p>
    <w:p>
      <w:pPr>
        <w:numPr>
          <w:ilvl w:val="0"/>
          <w:numId w:val="0"/>
        </w:numPr>
        <w:spacing w:line="560" w:lineRule="exact"/>
        <w:ind w:firstLine="640" w:firstLineChars="200"/>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设立的政策依据：昌州财社（202</w:t>
      </w: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53</w:t>
      </w:r>
      <w:r>
        <w:rPr>
          <w:rFonts w:hint="eastAsia" w:ascii="仿宋_GB2312" w:hAnsi="黑体" w:eastAsia="仿宋_GB2312"/>
          <w:color w:val="auto"/>
          <w:sz w:val="32"/>
          <w:szCs w:val="32"/>
          <w:highlight w:val="none"/>
        </w:rPr>
        <w:t>号</w:t>
      </w:r>
    </w:p>
    <w:p>
      <w:pPr>
        <w:spacing w:line="560" w:lineRule="exact"/>
        <w:ind w:firstLine="640" w:firstLineChars="200"/>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lang w:val="en-US" w:eastAsia="zh-CN"/>
        </w:rPr>
        <w:t>8.60</w:t>
      </w:r>
      <w:r>
        <w:rPr>
          <w:rFonts w:hint="eastAsia" w:ascii="仿宋_GB2312" w:hAnsi="黑体" w:eastAsia="仿宋_GB2312"/>
          <w:color w:val="auto"/>
          <w:sz w:val="32"/>
          <w:szCs w:val="32"/>
          <w:highlight w:val="none"/>
        </w:rPr>
        <w:t>万元</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项目承担单位：呼图壁县残疾</w:t>
      </w:r>
      <w:r>
        <w:rPr>
          <w:rFonts w:hint="eastAsia" w:ascii="仿宋_GB2312" w:hAnsi="宋体" w:eastAsia="仿宋_GB2312" w:cs="宋体"/>
          <w:color w:val="auto"/>
          <w:kern w:val="0"/>
          <w:sz w:val="32"/>
          <w:szCs w:val="32"/>
          <w:highlight w:val="none"/>
        </w:rPr>
        <w:t>人联合会</w:t>
      </w:r>
    </w:p>
    <w:p>
      <w:pPr>
        <w:spacing w:line="560" w:lineRule="exact"/>
        <w:ind w:firstLine="640" w:firstLineChars="200"/>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8.60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，主要用于聘用康复协调员和康复医师、“爱心天使”助学、开展康复站工作购买办公用品、残疾人培训、等方面支出。</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年1月-202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rPr>
        <w:t>呼图壁县残疾人联合会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rPr>
        <w:t>呼图壁县残疾人联合会</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rPr>
        <w:t>呼图壁县残疾人联合会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呼图壁县残疾人联合会202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Hans"/>
        </w:rPr>
        <w:t>呼图壁县残疾人联合会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呼图壁县残疾人联合会202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万元，其中：因公出国（境）费0万元，公务</w:t>
      </w:r>
      <w:r>
        <w:rPr>
          <w:rFonts w:hint="eastAsia" w:ascii="仿宋_GB2312" w:hAnsi="宋体" w:eastAsia="仿宋_GB2312" w:cs="宋体"/>
          <w:color w:val="auto"/>
          <w:kern w:val="0"/>
          <w:sz w:val="32"/>
          <w:szCs w:val="32"/>
          <w:highlight w:val="none"/>
        </w:rPr>
        <w:t>用车购置费0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万元，公务接待费0万元。</w:t>
      </w:r>
    </w:p>
    <w:p>
      <w:pPr>
        <w:spacing w:line="560" w:lineRule="exact"/>
        <w:ind w:firstLine="640" w:firstLineChars="200"/>
        <w:rPr>
          <w:rFonts w:hint="eastAsia" w:ascii="仿宋_GB2312" w:hAnsi="仿宋_GB2312" w:eastAsia="仿宋_GB2312" w:cs="仿宋_GB2312"/>
          <w:b/>
          <w:color w:val="auto"/>
          <w:kern w:val="0"/>
          <w:sz w:val="32"/>
          <w:szCs w:val="32"/>
          <w:highlight w:val="none"/>
          <w:lang w:eastAsia="zh-Hans"/>
        </w:rPr>
      </w:pP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万元，下降</w:t>
      </w:r>
      <w:r>
        <w:rPr>
          <w:rFonts w:hint="eastAsia" w:ascii="仿宋_GB2312" w:hAnsi="宋体" w:eastAsia="仿宋_GB2312" w:cs="宋体"/>
          <w:color w:val="auto"/>
          <w:kern w:val="0"/>
          <w:sz w:val="32"/>
          <w:szCs w:val="32"/>
          <w:highlight w:val="none"/>
          <w:lang w:val="en-US" w:eastAsia="zh-CN"/>
        </w:rPr>
        <w:t>50</w:t>
      </w:r>
      <w:r>
        <w:rPr>
          <w:rFonts w:hint="eastAsia" w:ascii="仿宋_GB2312" w:hAnsi="宋体" w:eastAsia="仿宋_GB2312" w:cs="宋体"/>
          <w:color w:val="auto"/>
          <w:kern w:val="0"/>
          <w:sz w:val="32"/>
          <w:szCs w:val="32"/>
          <w:highlight w:val="none"/>
        </w:rPr>
        <w:t>%，其中：因公出国（境）费增加0万元，增长0%，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2023年和2024年均未</w:t>
      </w:r>
      <w:r>
        <w:rPr>
          <w:rFonts w:hint="eastAsia" w:ascii="仿宋_GB2312" w:hAnsi="宋体" w:eastAsia="仿宋_GB2312" w:cs="宋体"/>
          <w:color w:val="auto"/>
          <w:kern w:val="0"/>
          <w:sz w:val="32"/>
          <w:szCs w:val="32"/>
          <w:highlight w:val="none"/>
        </w:rPr>
        <w:t>安排</w:t>
      </w:r>
      <w:r>
        <w:rPr>
          <w:rFonts w:hint="eastAsia" w:ascii="仿宋_GB2312" w:hAnsi="宋体" w:eastAsia="仿宋_GB2312" w:cs="宋体"/>
          <w:color w:val="auto"/>
          <w:kern w:val="0"/>
          <w:sz w:val="32"/>
          <w:szCs w:val="32"/>
          <w:highlight w:val="none"/>
          <w:lang w:eastAsia="zh-CN"/>
        </w:rPr>
        <w:t>因公出国（境）费</w:t>
      </w:r>
      <w:r>
        <w:rPr>
          <w:rFonts w:hint="eastAsia" w:ascii="仿宋_GB2312" w:hAnsi="宋体" w:eastAsia="仿宋_GB2312" w:cs="宋体"/>
          <w:color w:val="auto"/>
          <w:kern w:val="0"/>
          <w:sz w:val="32"/>
          <w:szCs w:val="32"/>
          <w:highlight w:val="none"/>
        </w:rPr>
        <w:t>；公务用车购置费增加0万元，增长0%，主要原因是</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2023年和2024年均未安排公务用车购置费</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下降50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2024年机关事务管理局重新核对了县残联公车编</w:t>
      </w:r>
      <w:r>
        <w:rPr>
          <w:rFonts w:hint="eastAsia" w:ascii="仿宋_GB2312" w:hAnsi="宋体" w:eastAsia="仿宋_GB2312" w:cs="宋体"/>
          <w:color w:val="auto"/>
          <w:kern w:val="0"/>
          <w:sz w:val="32"/>
          <w:szCs w:val="32"/>
          <w:highlight w:val="none"/>
          <w:lang w:val="en-US" w:eastAsia="zh-CN"/>
        </w:rPr>
        <w:t>制数，县残联公务用车指标核减为1个</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rPr>
        <w:t>公务接待费减少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w:t>
      </w:r>
      <w:r>
        <w:rPr>
          <w:rFonts w:hint="eastAsia" w:ascii="仿宋_GB2312" w:hAnsi="宋体" w:eastAsia="仿宋_GB2312" w:cs="宋体"/>
          <w:color w:val="auto"/>
          <w:kern w:val="0"/>
          <w:sz w:val="32"/>
          <w:szCs w:val="32"/>
          <w:highlight w:val="none"/>
        </w:rPr>
        <w:t>0%，主要原因是</w:t>
      </w:r>
      <w:r>
        <w:rPr>
          <w:rFonts w:hint="eastAsia" w:ascii="仿宋_GB2312" w:hAnsi="宋体" w:eastAsia="仿宋_GB2312" w:cs="宋体"/>
          <w:color w:val="auto"/>
          <w:kern w:val="0"/>
          <w:sz w:val="32"/>
          <w:szCs w:val="32"/>
          <w:highlight w:val="none"/>
          <w:lang w:val="en-US" w:eastAsia="zh-CN"/>
        </w:rPr>
        <w:t>2023年和2024年均未安排公务接待费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Hans"/>
        </w:rPr>
        <w:t>呼图壁县残疾人联合会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呼图壁县残疾人联合会</w:t>
      </w:r>
      <w:r>
        <w:rPr>
          <w:rFonts w:hint="eastAsia" w:ascii="仿宋_GB2312" w:hAnsi="仿宋_GB2312" w:eastAsia="仿宋_GB2312" w:cs="仿宋_GB2312"/>
          <w:color w:val="auto"/>
          <w:kern w:val="0"/>
          <w:sz w:val="32"/>
          <w:szCs w:val="32"/>
          <w:highlight w:val="none"/>
          <w:lang w:val="en-US" w:eastAsia="zh-CN"/>
        </w:rPr>
        <w:t>2024年无上年结转结余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spacing w:line="560" w:lineRule="exact"/>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rPr>
        <w:t>呼图壁县残疾人联合会</w:t>
      </w:r>
      <w:r>
        <w:rPr>
          <w:rFonts w:hint="eastAsia" w:ascii="仿宋_GB2312" w:hAnsi="仿宋_GB2312" w:eastAsia="仿宋_GB2312" w:cs="仿宋_GB2312"/>
          <w:color w:val="auto"/>
          <w:kern w:val="0"/>
          <w:sz w:val="32"/>
          <w:szCs w:val="32"/>
          <w:highlight w:val="none"/>
        </w:rPr>
        <w:t>及下属0家行政单位和  家事业单位的机关运行经费财政拨款预算</w:t>
      </w:r>
      <w:r>
        <w:rPr>
          <w:rFonts w:hint="eastAsia" w:ascii="仿宋_GB2312" w:hAnsi="仿宋_GB2312" w:eastAsia="仿宋_GB2312" w:cs="仿宋_GB2312"/>
          <w:color w:val="auto"/>
          <w:kern w:val="0"/>
          <w:sz w:val="32"/>
          <w:szCs w:val="32"/>
          <w:highlight w:val="none"/>
          <w:lang w:val="en-US" w:eastAsia="zh-CN"/>
        </w:rPr>
        <w:t>4.92</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0.95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16.18</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是：</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8月有1名三级调研员退休，7月调入1名一级主任科员，8月调出一名九级职员。</w:t>
      </w:r>
    </w:p>
    <w:p>
      <w:pPr>
        <w:keepNext w:val="0"/>
        <w:keepLines w:val="0"/>
        <w:pageBreakBefore w:val="0"/>
        <w:widowControl w:val="0"/>
        <w:kinsoku/>
        <w:wordWrap/>
        <w:overflowPunct/>
        <w:topLinePunct w:val="0"/>
        <w:autoSpaceDE/>
        <w:autoSpaceDN/>
        <w:bidi w:val="0"/>
        <w:adjustRightInd/>
        <w:snapToGrid/>
        <w:spacing w:line="600" w:lineRule="exact"/>
        <w:ind w:firstLine="321" w:firstLineChars="1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rPr>
        <w:t>呼图壁县残疾人联合会</w:t>
      </w:r>
      <w:r>
        <w:rPr>
          <w:rFonts w:hint="eastAsia" w:ascii="仿宋_GB2312" w:hAnsi="仿宋_GB2312" w:eastAsia="仿宋_GB2312" w:cs="仿宋_GB2312"/>
          <w:color w:val="auto"/>
          <w:kern w:val="0"/>
          <w:sz w:val="32"/>
          <w:szCs w:val="32"/>
          <w:highlight w:val="none"/>
        </w:rPr>
        <w:t>政府采购预算0.48万元，其中：政府采购货物预算0.48万元，政府采购工程预算0万元，政府采购服务预算0万元。</w:t>
      </w:r>
    </w:p>
    <w:p>
      <w:pPr>
        <w:spacing w:line="560" w:lineRule="exact"/>
        <w:ind w:firstLine="640" w:firstLineChars="200"/>
        <w:rPr>
          <w:rFonts w:hint="eastAsia" w:ascii="仿宋_GB2312" w:hAnsi="仿宋_GB2312" w:eastAsia="仿宋_GB2312" w:cs="仿宋_GB2312"/>
          <w:color w:val="auto"/>
          <w:kern w:val="0"/>
          <w:sz w:val="32"/>
          <w:szCs w:val="32"/>
          <w:highlight w:val="none"/>
          <w:lang w:eastAsia="zh-Hans"/>
        </w:rPr>
      </w:pPr>
      <w:r>
        <w:rPr>
          <w:rFonts w:hint="eastAsia" w:ascii="仿宋_GB2312" w:hAnsi="仿宋_GB2312" w:eastAsia="仿宋_GB2312" w:cs="仿宋_GB2312"/>
          <w:color w:val="auto"/>
          <w:sz w:val="32"/>
          <w:highlight w:val="none"/>
        </w:rPr>
        <w:t>202</w:t>
      </w:r>
      <w:r>
        <w:rPr>
          <w:rFonts w:hint="eastAsia" w:ascii="仿宋_GB2312" w:hAnsi="仿宋_GB2312" w:eastAsia="仿宋_GB2312" w:cs="仿宋_GB2312"/>
          <w:color w:val="auto"/>
          <w:sz w:val="32"/>
          <w:highlight w:val="none"/>
          <w:lang w:val="en-US" w:eastAsia="zh-CN"/>
        </w:rPr>
        <w:t>4</w:t>
      </w:r>
      <w:r>
        <w:rPr>
          <w:rFonts w:hint="eastAsia" w:ascii="仿宋_GB2312" w:hAnsi="仿宋_GB2312" w:eastAsia="仿宋_GB2312" w:cs="仿宋_GB2312"/>
          <w:color w:val="auto"/>
          <w:sz w:val="32"/>
          <w:highlight w:val="none"/>
        </w:rPr>
        <w:t>年度本单位面向中小企业预留政府采购项目预算金额</w:t>
      </w:r>
      <w:r>
        <w:rPr>
          <w:rFonts w:hint="eastAsia" w:ascii="仿宋_GB2312" w:hAnsi="仿宋_GB2312" w:eastAsia="仿宋_GB2312" w:cs="仿宋_GB2312"/>
          <w:color w:val="auto"/>
          <w:kern w:val="0"/>
          <w:sz w:val="32"/>
          <w:szCs w:val="32"/>
          <w:highlight w:val="none"/>
        </w:rPr>
        <w:t>0.48</w:t>
      </w:r>
      <w:r>
        <w:rPr>
          <w:rFonts w:hint="eastAsia" w:ascii="仿宋_GB2312" w:hAnsi="仿宋_GB2312" w:eastAsia="仿宋_GB2312" w:cs="仿宋_GB2312"/>
          <w:color w:val="auto"/>
          <w:sz w:val="32"/>
          <w:highlight w:val="none"/>
        </w:rPr>
        <w:t>万元，其中：面向小微企业预留政府采购项目预算金额</w:t>
      </w:r>
      <w:r>
        <w:rPr>
          <w:rFonts w:hint="eastAsia" w:ascii="仿宋_GB2312" w:hAnsi="仿宋_GB2312" w:eastAsia="仿宋_GB2312" w:cs="仿宋_GB2312"/>
          <w:color w:val="auto"/>
          <w:kern w:val="0"/>
          <w:sz w:val="32"/>
          <w:szCs w:val="32"/>
          <w:highlight w:val="none"/>
        </w:rPr>
        <w:t>0.48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Hans"/>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截至202</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年底，</w:t>
      </w:r>
      <w:r>
        <w:rPr>
          <w:rFonts w:hint="eastAsia" w:ascii="仿宋_GB2312" w:hAnsi="宋体" w:eastAsia="仿宋_GB2312" w:cs="宋体"/>
          <w:color w:val="auto"/>
          <w:kern w:val="0"/>
          <w:sz w:val="32"/>
          <w:szCs w:val="32"/>
          <w:highlight w:val="none"/>
        </w:rPr>
        <w:t>呼图壁县残疾人联合会</w:t>
      </w:r>
      <w:r>
        <w:rPr>
          <w:rFonts w:hint="eastAsia" w:ascii="仿宋_GB2312" w:hAnsi="仿宋_GB2312" w:eastAsia="仿宋_GB2312" w:cs="仿宋_GB2312"/>
          <w:color w:val="auto"/>
          <w:kern w:val="0"/>
          <w:sz w:val="32"/>
          <w:szCs w:val="32"/>
          <w:highlight w:val="none"/>
        </w:rPr>
        <w:t>及下属各预算单位占用使用国有资产总体情况为</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宋体" w:eastAsia="仿宋_GB2312" w:cs="宋体"/>
          <w:color w:val="auto"/>
          <w:kern w:val="0"/>
          <w:sz w:val="32"/>
          <w:szCs w:val="32"/>
          <w:highlight w:val="none"/>
        </w:rPr>
        <w:t>570平方米，价值22.83万元。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宋体" w:eastAsia="仿宋_GB2312" w:cs="宋体"/>
          <w:color w:val="auto"/>
          <w:kern w:val="0"/>
          <w:sz w:val="32"/>
          <w:szCs w:val="32"/>
          <w:highlight w:val="none"/>
        </w:rPr>
        <w:t>3辆，价值46.93万元；其中：一般公务用车2辆，价值36.7万元；执法执勤用车0辆，价值0万元；其他车辆1辆，价值10.23万元。</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3.办公家具价值0万元。</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宋体" w:eastAsia="仿宋_GB2312" w:cs="宋体"/>
          <w:color w:val="auto"/>
          <w:kern w:val="0"/>
          <w:sz w:val="32"/>
          <w:szCs w:val="32"/>
          <w:highlight w:val="none"/>
        </w:rPr>
        <w:t>30.74万元。</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单位价值50万元以上大型设备0台，单位价值100万元以上大型设备0台。</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rPr>
        <w:t>2023年呼图壁县残疾人联合会</w:t>
      </w:r>
      <w:r>
        <w:rPr>
          <w:rFonts w:hint="eastAsia" w:ascii="仿宋_GB2312" w:hAnsi="仿宋_GB2312" w:eastAsia="仿宋_GB2312" w:cs="仿宋_GB2312"/>
          <w:color w:val="auto"/>
          <w:kern w:val="0"/>
          <w:sz w:val="32"/>
          <w:szCs w:val="32"/>
          <w:highlight w:val="none"/>
        </w:rPr>
        <w:t>预算未安排购置车辆经费，安排购置50万元以上大型设备0台，单位价值100万元以上大型设备0台。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整体预算绩效目标1个，涉及金额308.64万元；当年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涉及预算金额16.6万元；当年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具体情况见下表：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楷体_GB2312" w:hAnsi="楷体_GB2312" w:eastAsia="楷体_GB2312" w:cs="楷体_GB2312"/>
                <w:b/>
                <w:bCs/>
                <w:color w:val="auto"/>
                <w:spacing w:val="-6"/>
                <w:kern w:val="0"/>
                <w:sz w:val="32"/>
                <w:szCs w:val="32"/>
                <w:highlight w:val="none"/>
              </w:rPr>
              <w:t>呼图壁县残疾人联合会</w:t>
            </w:r>
            <w:r>
              <w:rPr>
                <w:rFonts w:hint="eastAsia" w:ascii="仿宋_GB2312" w:hAnsi="宋体" w:eastAsia="仿宋_GB2312" w:cs="仿宋_GB2312"/>
                <w:b/>
                <w:color w:val="auto"/>
                <w:kern w:val="0"/>
                <w:sz w:val="32"/>
                <w:szCs w:val="32"/>
                <w:highlight w:val="none"/>
                <w:lang w:val="en-US" w:eastAsia="zh-CN" w:bidi="ar"/>
              </w:rPr>
              <w:t>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宋体" w:hAnsi="宋体" w:eastAsia="宋体" w:cs="宋体"/>
                <w:i w:val="0"/>
                <w:iCs w:val="0"/>
                <w:color w:val="auto"/>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呼图壁县残联本级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郭玲</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19199195669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通过开展残疾人基本康复服务项目年度工作，为肢体、视力、精神、智力残疾人提供基本康复服务，为残疾人配发需要的辅具器具，努力提高受助残疾人生活自理和社会参与能力；为残疾人家庭实施无障碍改造，包括地面平整及坡化、低位灶台、房门改造、坐便器改造、扶手或抓干、浴凳及改善残疾人家居卫生条件的其他设施等无障碍改造；通过残疾人服务相关信息数据的动态更新，及时掌握残疾人的基本服务状况和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上级</w:t>
            </w:r>
            <w:r>
              <w:rPr>
                <w:rFonts w:hint="eastAsia" w:ascii="宋体" w:hAnsi="宋体" w:eastAsia="宋体" w:cs="宋体"/>
                <w:i w:val="0"/>
                <w:iCs w:val="0"/>
                <w:color w:val="auto"/>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本级</w:t>
            </w:r>
            <w:r>
              <w:rPr>
                <w:rFonts w:hint="eastAsia" w:ascii="宋体" w:hAnsi="宋体" w:eastAsia="宋体" w:cs="宋体"/>
                <w:i w:val="0"/>
                <w:iCs w:val="0"/>
                <w:color w:val="auto"/>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164.64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残疾人基本健康服务人数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&gt;=10人</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昌州财社（2023）84号</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367"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残疾儿童康复救助人数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&gt;=3人</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昌州财社（2023）84号</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367"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社区康复协调员培训人数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&gt;=10人</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昌州财社（2023）84号</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11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困难重度残疾人家庭无障碍改造数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&gt;=3户</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昌州财社（2023）84号</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4"/>
                <w:szCs w:val="24"/>
                <w:highlight w:val="none"/>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8"/>
        <w:gridCol w:w="768"/>
        <w:gridCol w:w="1872"/>
        <w:gridCol w:w="972"/>
        <w:gridCol w:w="936"/>
        <w:gridCol w:w="924"/>
        <w:gridCol w:w="936"/>
        <w:gridCol w:w="1308"/>
        <w:gridCol w:w="7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4</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53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预算单位</w:t>
            </w:r>
          </w:p>
        </w:tc>
        <w:tc>
          <w:tcPr>
            <w:tcW w:w="7724"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呼图壁县残联本级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53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项目名称</w:t>
            </w:r>
          </w:p>
        </w:tc>
        <w:tc>
          <w:tcPr>
            <w:tcW w:w="3780"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残疾人保障和关爱服务项目</w:t>
            </w:r>
          </w:p>
        </w:tc>
        <w:tc>
          <w:tcPr>
            <w:tcW w:w="18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b/>
                <w:i w:val="0"/>
                <w:color w:val="auto"/>
                <w:kern w:val="0"/>
                <w:sz w:val="18"/>
                <w:szCs w:val="18"/>
                <w:highlight w:val="none"/>
                <w:u w:val="none"/>
                <w:lang w:val="en-US" w:eastAsia="zh-CN" w:bidi="ar"/>
              </w:rPr>
              <w:t>项目负责人</w:t>
            </w:r>
          </w:p>
        </w:tc>
        <w:tc>
          <w:tcPr>
            <w:tcW w:w="20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季刚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53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项目资金（万元）</w:t>
            </w: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年度预算总额：</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8.6</w:t>
            </w:r>
          </w:p>
        </w:tc>
        <w:tc>
          <w:tcPr>
            <w:tcW w:w="93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其中：财政拨款</w:t>
            </w:r>
          </w:p>
        </w:tc>
        <w:tc>
          <w:tcPr>
            <w:tcW w:w="92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color w:val="auto"/>
                <w:kern w:val="0"/>
                <w:sz w:val="18"/>
                <w:szCs w:val="18"/>
                <w:highlight w:val="none"/>
                <w:u w:val="none"/>
                <w:lang w:val="en-US" w:eastAsia="zh-CN" w:bidi="ar"/>
              </w:rPr>
              <w:t>8.6</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其他资金：</w:t>
            </w:r>
          </w:p>
        </w:tc>
        <w:tc>
          <w:tcPr>
            <w:tcW w:w="20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53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项目总体目标</w:t>
            </w:r>
          </w:p>
        </w:tc>
        <w:tc>
          <w:tcPr>
            <w:tcW w:w="7724" w:type="dxa"/>
            <w:gridSpan w:val="7"/>
            <w:tcBorders>
              <w:top w:val="single" w:color="000000" w:sz="4" w:space="0"/>
              <w:left w:val="nil"/>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项目资金主要针对符合文件要求的残疾人，根据县残联和各个乡镇摸排的符合条件的残疾人，用于社区残疾人康复示范站建设建建站数、爱心天使、残疾人培训等方面支出。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7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一级指标</w:t>
            </w:r>
          </w:p>
        </w:tc>
        <w:tc>
          <w:tcPr>
            <w:tcW w:w="7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二级指标</w:t>
            </w: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三级指标</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指标值</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b/>
                <w:i w:val="0"/>
                <w:color w:val="auto"/>
                <w:kern w:val="0"/>
                <w:sz w:val="18"/>
                <w:szCs w:val="18"/>
                <w:highlight w:val="none"/>
                <w:u w:val="none"/>
                <w:lang w:val="en-US" w:eastAsia="zh-CN" w:bidi="ar"/>
              </w:rPr>
              <w:t>上年完成值</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指标分值权重</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指标赋分规则</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68"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产出指标</w:t>
            </w:r>
          </w:p>
        </w:tc>
        <w:tc>
          <w:tcPr>
            <w:tcW w:w="768"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数量指标</w:t>
            </w: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社区残疾人康复示范站建设数量</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&gt;=1个</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pPr>
              <w:rPr>
                <w:color w:val="auto"/>
                <w:highlight w:val="none"/>
              </w:rPr>
            </w:pP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5</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按照完成比例赋分</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768"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爱心天使助学人数</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&gt;=1人</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pPr>
              <w:rPr>
                <w:color w:val="auto"/>
                <w:highlight w:val="none"/>
              </w:rPr>
            </w:pP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5</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按照完成比例赋分</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残疾人培训人数</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&gt;=10人</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10人</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6</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按照完成比例赋分</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768"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质量指标</w:t>
            </w: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残疾人康复服务率</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&gt;=95%</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100%</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6</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按照完成比例赋分</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爱心天使助学完成率</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100%</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6</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按照完成比例赋分</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残疾人培训接受率</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100%</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6</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按照完成比例赋分</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68"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7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时效指标</w:t>
            </w: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补助资金发放到位及时率</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=100%</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6</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按照完成比例赋分</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68"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成本指标</w:t>
            </w:r>
          </w:p>
        </w:tc>
        <w:tc>
          <w:tcPr>
            <w:tcW w:w="7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经济成本指标</w:t>
            </w: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残疾人康复补助标准</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=100元/人</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100元/人</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20</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按照完成比例赋分</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768"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效益指标</w:t>
            </w:r>
          </w:p>
        </w:tc>
        <w:tc>
          <w:tcPr>
            <w:tcW w:w="7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社会效益指标</w:t>
            </w: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营造关心、理解、支持残疾人的社会氛围</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效果显著</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效果显著</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20</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按评判等级赋分</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7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满意度指标</w:t>
            </w:r>
          </w:p>
        </w:tc>
        <w:tc>
          <w:tcPr>
            <w:tcW w:w="7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满意度指标</w:t>
            </w:r>
          </w:p>
        </w:tc>
        <w:tc>
          <w:tcPr>
            <w:tcW w:w="18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残疾人及其家属对残疾人康复服务满意度</w:t>
            </w:r>
          </w:p>
        </w:tc>
        <w:tc>
          <w:tcPr>
            <w:tcW w:w="9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&gt;=90%</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95%</w:t>
            </w:r>
          </w:p>
        </w:tc>
        <w:tc>
          <w:tcPr>
            <w:tcW w:w="9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10</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满意度赋分</w:t>
            </w:r>
          </w:p>
        </w:tc>
        <w:tc>
          <w:tcPr>
            <w:tcW w:w="7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tbl>
      <w:tblPr>
        <w:tblStyle w:val="5"/>
        <w:tblW w:w="98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71"/>
        <w:gridCol w:w="971"/>
        <w:gridCol w:w="972"/>
        <w:gridCol w:w="972"/>
        <w:gridCol w:w="972"/>
        <w:gridCol w:w="972"/>
        <w:gridCol w:w="972"/>
        <w:gridCol w:w="972"/>
        <w:gridCol w:w="20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8" w:hRule="atLeast"/>
        </w:trPr>
        <w:tc>
          <w:tcPr>
            <w:tcW w:w="9865"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宋体" w:hAnsi="宋体" w:eastAsia="宋体" w:cs="宋体"/>
                <w:b/>
                <w:i w:val="0"/>
                <w:color w:val="auto"/>
                <w:kern w:val="0"/>
                <w:sz w:val="32"/>
                <w:szCs w:val="32"/>
                <w:highlight w:val="none"/>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9865"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预算单位</w:t>
            </w:r>
          </w:p>
        </w:tc>
        <w:tc>
          <w:tcPr>
            <w:tcW w:w="7923"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呼图壁县残联本级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关于提前下达2024年自治区残疾人事业发展补助资金预算的通知</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项目负责人</w:t>
            </w:r>
          </w:p>
        </w:tc>
        <w:tc>
          <w:tcPr>
            <w:tcW w:w="306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季刚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8</w:t>
            </w:r>
          </w:p>
        </w:tc>
        <w:tc>
          <w:tcPr>
            <w:tcW w:w="972"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其中：财政拨款</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8</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其他资金：</w:t>
            </w:r>
          </w:p>
        </w:tc>
        <w:tc>
          <w:tcPr>
            <w:tcW w:w="306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4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项目总体目标</w:t>
            </w:r>
          </w:p>
        </w:tc>
        <w:tc>
          <w:tcPr>
            <w:tcW w:w="7923" w:type="dxa"/>
            <w:gridSpan w:val="7"/>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center"/>
              <w:textAlignment w:val="top"/>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项目资金主要针对符合文件要求的残疾人，根据县残联和各个乡镇摸排的符合条件的残疾人，用于残疾儿童康复救助、基本康复服务、社区康复协调员培训、残疾预防宣传、困难重度残疾人家庭无障碍改造等方面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97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一级指标</w:t>
            </w:r>
          </w:p>
        </w:tc>
        <w:tc>
          <w:tcPr>
            <w:tcW w:w="97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二级指标</w:t>
            </w:r>
          </w:p>
        </w:tc>
        <w:tc>
          <w:tcPr>
            <w:tcW w:w="97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三级指标</w:t>
            </w:r>
          </w:p>
        </w:tc>
        <w:tc>
          <w:tcPr>
            <w:tcW w:w="97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指标值</w:t>
            </w:r>
          </w:p>
        </w:tc>
        <w:tc>
          <w:tcPr>
            <w:tcW w:w="97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指标值设置依据</w:t>
            </w:r>
          </w:p>
        </w:tc>
        <w:tc>
          <w:tcPr>
            <w:tcW w:w="97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上年完成值</w:t>
            </w:r>
          </w:p>
        </w:tc>
        <w:tc>
          <w:tcPr>
            <w:tcW w:w="97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指标分值权重</w:t>
            </w:r>
          </w:p>
        </w:tc>
        <w:tc>
          <w:tcPr>
            <w:tcW w:w="97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指标赋分规则</w:t>
            </w:r>
          </w:p>
        </w:tc>
        <w:tc>
          <w:tcPr>
            <w:tcW w:w="209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产出指标</w:t>
            </w:r>
          </w:p>
        </w:tc>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数量指标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残疾儿童康复救助人数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&gt;=3人</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3人</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sz w:val="20"/>
                <w:szCs w:val="20"/>
                <w:highlight w:val="none"/>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基本康复服务人数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&gt;=20人</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20人</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sz w:val="20"/>
                <w:szCs w:val="20"/>
                <w:highlight w:val="none"/>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社区康复协调员培训人数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&gt;=10人</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10人</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sz w:val="20"/>
                <w:szCs w:val="20"/>
                <w:highlight w:val="none"/>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残疾预防宣传次数</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&gt;=5次</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7次</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sz w:val="20"/>
                <w:szCs w:val="20"/>
                <w:highlight w:val="none"/>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困难重度残疾人家庭无障碍改造人数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&gt;=3户</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10户</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sz w:val="20"/>
                <w:szCs w:val="20"/>
                <w:highlight w:val="none"/>
                <w:u w:val="none"/>
              </w:rPr>
            </w:pPr>
          </w:p>
        </w:tc>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残疾儿童康复救助服务率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sz w:val="20"/>
                <w:szCs w:val="20"/>
                <w:highlight w:val="none"/>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基本康复服务服务率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sz w:val="20"/>
                <w:szCs w:val="20"/>
                <w:highlight w:val="none"/>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社区康复协调员培训率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3</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sz w:val="20"/>
                <w:szCs w:val="20"/>
                <w:highlight w:val="none"/>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残疾预防宣传覆盖率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3</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sz w:val="20"/>
                <w:szCs w:val="20"/>
                <w:highlight w:val="none"/>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困难重度残疾人家庭无障碍改造完成率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&gt;=100%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3</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sz w:val="20"/>
                <w:szCs w:val="20"/>
                <w:highlight w:val="none"/>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时效指标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补助资金发放及时率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3</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成本指标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残疾人康复补助标准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=100元/人</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100元/人</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效益指标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关心、理解、支持残疾人的社会氛围</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有所改善</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有所改善</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按评判等级赋分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满意度指标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残疾人及其家属对残疾人康复服务满意度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95%</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满意度赋分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color w:val="auto"/>
          <w:kern w:val="0"/>
          <w:sz w:val="32"/>
          <w:szCs w:val="32"/>
          <w:highlight w:val="none"/>
          <w:lang w:val="en-US" w:eastAsia="zh-CN"/>
        </w:rPr>
      </w:pPr>
      <w:r>
        <w:rPr>
          <w:rFonts w:hint="eastAsia" w:ascii="楷体_GB2312" w:hAnsi="宋体" w:eastAsia="楷体_GB2312" w:cs="宋体"/>
          <w:b/>
          <w:color w:val="auto"/>
          <w:kern w:val="0"/>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2560" w:firstLineChars="800"/>
        <w:jc w:val="both"/>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color w:val="auto"/>
          <w:sz w:val="32"/>
          <w:szCs w:val="32"/>
          <w:highlight w:val="none"/>
        </w:rPr>
        <w:t>指</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rPr>
        <w:t>因公出国（境）费、公务用车购置及运行维护费和公务接待费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其中</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因公出国（境）费反映</w:t>
      </w:r>
      <w:r>
        <w:rPr>
          <w:rFonts w:hint="eastAsia" w:ascii="仿宋_GB2312" w:eastAsia="仿宋_GB2312"/>
          <w:color w:val="auto"/>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color w:val="auto"/>
          <w:sz w:val="32"/>
          <w:szCs w:val="32"/>
          <w:highlight w:val="none"/>
        </w:rPr>
        <w:t>公务用车运行维护费反映单</w:t>
      </w:r>
      <w:r>
        <w:rPr>
          <w:rFonts w:hint="eastAsia" w:ascii="仿宋_GB2312" w:eastAsia="仿宋_GB2312"/>
          <w:color w:val="auto"/>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color w:val="auto"/>
          <w:sz w:val="32"/>
          <w:szCs w:val="32"/>
          <w:highlight w:val="none"/>
        </w:rPr>
        <w:t>；公务接待费反映</w:t>
      </w:r>
      <w:r>
        <w:rPr>
          <w:rFonts w:hint="eastAsia" w:ascii="仿宋_GB2312" w:eastAsia="仿宋_GB2312"/>
          <w:color w:val="auto"/>
          <w:sz w:val="32"/>
          <w:szCs w:val="32"/>
          <w:highlight w:val="none"/>
          <w:lang w:val="en-US" w:eastAsia="zh-CN"/>
        </w:rPr>
        <w:t>机关和参公事业单位</w:t>
      </w:r>
      <w:r>
        <w:rPr>
          <w:rFonts w:hint="eastAsia" w:ascii="仿宋_GB2312" w:eastAsia="仿宋_GB2312"/>
          <w:color w:val="auto"/>
          <w:sz w:val="32"/>
          <w:szCs w:val="32"/>
          <w:highlight w:val="none"/>
        </w:rPr>
        <w:t>按规定开支的各类公务接待（含外宾接待）</w:t>
      </w:r>
      <w:r>
        <w:rPr>
          <w:rFonts w:hint="eastAsia" w:ascii="仿宋_GB2312" w:eastAsia="仿宋_GB2312"/>
          <w:color w:val="auto"/>
          <w:sz w:val="32"/>
          <w:szCs w:val="32"/>
          <w:highlight w:val="none"/>
          <w:lang w:val="en-US"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left="5440" w:hanging="5440" w:hangingChars="1700"/>
        <w:jc w:val="both"/>
        <w:textAlignment w:val="auto"/>
        <w:outlineLvl w:val="9"/>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 xml:space="preserve">呼图壁县残疾人联合会                              </w:t>
      </w:r>
      <w:r>
        <w:rPr>
          <w:rFonts w:hint="eastAsia" w:ascii="仿宋_GB2312" w:hAnsi="宋体" w:eastAsia="仿宋_GB2312" w:cs="宋体"/>
          <w:color w:val="auto"/>
          <w:kern w:val="0"/>
          <w:sz w:val="32"/>
          <w:szCs w:val="32"/>
          <w:highlight w:val="none"/>
          <w:lang w:val="en-US" w:eastAsia="zh-CN"/>
        </w:rPr>
        <w:t>2024</w:t>
      </w:r>
      <w:r>
        <w:rPr>
          <w:rFonts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3</w:t>
      </w:r>
      <w:r>
        <w:rPr>
          <w:rFonts w:ascii="仿宋_GB2312" w:hAnsi="宋体" w:eastAsia="仿宋_GB2312" w:cs="宋体"/>
          <w:color w:val="auto"/>
          <w:kern w:val="0"/>
          <w:sz w:val="32"/>
          <w:szCs w:val="32"/>
          <w:highlight w:val="none"/>
        </w:rPr>
        <w:t>月</w:t>
      </w:r>
      <w:r>
        <w:rPr>
          <w:rFonts w:hint="eastAsia" w:ascii="仿宋_GB2312" w:hAnsi="宋体" w:eastAsia="仿宋_GB2312" w:cs="宋体"/>
          <w:color w:val="auto"/>
          <w:kern w:val="0"/>
          <w:sz w:val="32"/>
          <w:szCs w:val="32"/>
          <w:highlight w:val="none"/>
          <w:lang w:val="en-US" w:eastAsia="zh-CN"/>
        </w:rPr>
        <w:t>1</w:t>
      </w:r>
      <w:r>
        <w:rPr>
          <w:rFonts w:ascii="仿宋_GB2312" w:hAnsi="宋体" w:eastAsia="仿宋_GB2312" w:cs="宋体"/>
          <w:color w:val="auto"/>
          <w:kern w:val="0"/>
          <w:sz w:val="32"/>
          <w:szCs w:val="32"/>
          <w:highlight w:val="none"/>
        </w:rPr>
        <w:t>日</w:t>
      </w:r>
    </w:p>
    <w:p>
      <w:pPr>
        <w:keepNext w:val="0"/>
        <w:keepLines w:val="0"/>
        <w:pageBreakBefore w:val="0"/>
        <w:widowControl w:val="0"/>
        <w:kinsoku/>
        <w:wordWrap/>
        <w:overflowPunct/>
        <w:topLinePunct w:val="0"/>
        <w:autoSpaceDE/>
        <w:autoSpaceDN/>
        <w:bidi w:val="0"/>
        <w:adjustRightInd/>
        <w:snapToGrid/>
        <w:spacing w:before="0" w:beforeLines="0" w:line="600" w:lineRule="exact"/>
        <w:ind w:left="5438" w:leftChars="304" w:hanging="4800" w:hangingChars="1500"/>
        <w:jc w:val="both"/>
        <w:textAlignment w:val="auto"/>
        <w:outlineLvl w:val="9"/>
        <w:rPr>
          <w:rFonts w:ascii="仿宋_GB2312" w:hAnsi="宋体" w:eastAsia="仿宋_GB2312" w:cs="宋体"/>
          <w:color w:val="auto"/>
          <w:kern w:val="0"/>
          <w:sz w:val="32"/>
          <w:szCs w:val="32"/>
          <w:highlight w:val="none"/>
        </w:rPr>
      </w:pPr>
    </w:p>
    <w:p>
      <w:pPr>
        <w:rPr>
          <w:color w:val="auto"/>
          <w:highlight w:val="none"/>
        </w:rPr>
      </w:pPr>
    </w:p>
    <w:bookmarkEnd w:id="0"/>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D38B10"/>
    <w:multiLevelType w:val="singleLevel"/>
    <w:tmpl w:val="91D38B10"/>
    <w:lvl w:ilvl="0" w:tentative="0">
      <w:start w:val="2"/>
      <w:numFmt w:val="decimal"/>
      <w:lvlText w:val="%1."/>
      <w:lvlJc w:val="left"/>
      <w:pPr>
        <w:tabs>
          <w:tab w:val="left" w:pos="312"/>
        </w:tabs>
      </w:p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1F2AFB"/>
    <w:rsid w:val="00562368"/>
    <w:rsid w:val="009A7E9F"/>
    <w:rsid w:val="00EE2224"/>
    <w:rsid w:val="013D62D2"/>
    <w:rsid w:val="02664BBD"/>
    <w:rsid w:val="02D561B6"/>
    <w:rsid w:val="035B6C81"/>
    <w:rsid w:val="035E4F25"/>
    <w:rsid w:val="04267B2D"/>
    <w:rsid w:val="04704BF1"/>
    <w:rsid w:val="04B13373"/>
    <w:rsid w:val="050A05E8"/>
    <w:rsid w:val="05397FD9"/>
    <w:rsid w:val="06053A80"/>
    <w:rsid w:val="070E6657"/>
    <w:rsid w:val="071A0F42"/>
    <w:rsid w:val="0748137B"/>
    <w:rsid w:val="0751737E"/>
    <w:rsid w:val="079D4688"/>
    <w:rsid w:val="083725B8"/>
    <w:rsid w:val="08450B28"/>
    <w:rsid w:val="093F21D2"/>
    <w:rsid w:val="0ACF01FA"/>
    <w:rsid w:val="0B247F12"/>
    <w:rsid w:val="0B8644ED"/>
    <w:rsid w:val="0BF40AA2"/>
    <w:rsid w:val="0C3E1BB0"/>
    <w:rsid w:val="0C3E6FA4"/>
    <w:rsid w:val="0C8167E5"/>
    <w:rsid w:val="0D5007F7"/>
    <w:rsid w:val="0D6E5FD0"/>
    <w:rsid w:val="0D7B1610"/>
    <w:rsid w:val="0D8115AE"/>
    <w:rsid w:val="0E196ED3"/>
    <w:rsid w:val="0E8C5DFB"/>
    <w:rsid w:val="0E9208E7"/>
    <w:rsid w:val="0E9E0472"/>
    <w:rsid w:val="0F4C69D5"/>
    <w:rsid w:val="0F842929"/>
    <w:rsid w:val="10587512"/>
    <w:rsid w:val="10916BDA"/>
    <w:rsid w:val="10CC32B2"/>
    <w:rsid w:val="11E76D7F"/>
    <w:rsid w:val="12EE1821"/>
    <w:rsid w:val="1341638A"/>
    <w:rsid w:val="15706098"/>
    <w:rsid w:val="158F6F33"/>
    <w:rsid w:val="159A6738"/>
    <w:rsid w:val="16123757"/>
    <w:rsid w:val="16242BED"/>
    <w:rsid w:val="1697741D"/>
    <w:rsid w:val="169F254C"/>
    <w:rsid w:val="1732414C"/>
    <w:rsid w:val="18384D90"/>
    <w:rsid w:val="189765F9"/>
    <w:rsid w:val="18C0000D"/>
    <w:rsid w:val="19A903AC"/>
    <w:rsid w:val="1A1A2EA3"/>
    <w:rsid w:val="1A4D1B3C"/>
    <w:rsid w:val="1AD87198"/>
    <w:rsid w:val="1AE5499E"/>
    <w:rsid w:val="1B2761C6"/>
    <w:rsid w:val="1BA724C7"/>
    <w:rsid w:val="1BAC57C2"/>
    <w:rsid w:val="1BD55A3E"/>
    <w:rsid w:val="1BEB54C3"/>
    <w:rsid w:val="1C3C6084"/>
    <w:rsid w:val="1C8C4CC1"/>
    <w:rsid w:val="1CEB6DC6"/>
    <w:rsid w:val="1D3237B0"/>
    <w:rsid w:val="1D353372"/>
    <w:rsid w:val="1D3E1AFE"/>
    <w:rsid w:val="1DF670C4"/>
    <w:rsid w:val="1EB61656"/>
    <w:rsid w:val="1F213692"/>
    <w:rsid w:val="1F282536"/>
    <w:rsid w:val="1FA229E6"/>
    <w:rsid w:val="1FD204A1"/>
    <w:rsid w:val="20BF792C"/>
    <w:rsid w:val="20DD55C0"/>
    <w:rsid w:val="20DF42AB"/>
    <w:rsid w:val="21163F4F"/>
    <w:rsid w:val="213D66E3"/>
    <w:rsid w:val="22BF45C0"/>
    <w:rsid w:val="22DB78DD"/>
    <w:rsid w:val="23A87A87"/>
    <w:rsid w:val="23F6173A"/>
    <w:rsid w:val="244D65B8"/>
    <w:rsid w:val="245C59EC"/>
    <w:rsid w:val="2492221D"/>
    <w:rsid w:val="25086153"/>
    <w:rsid w:val="25272FD3"/>
    <w:rsid w:val="25DF3B23"/>
    <w:rsid w:val="25F35498"/>
    <w:rsid w:val="26150CBC"/>
    <w:rsid w:val="2652400D"/>
    <w:rsid w:val="26B4291F"/>
    <w:rsid w:val="26E769FA"/>
    <w:rsid w:val="270361EB"/>
    <w:rsid w:val="27943212"/>
    <w:rsid w:val="28E77839"/>
    <w:rsid w:val="293B2E83"/>
    <w:rsid w:val="295D096B"/>
    <w:rsid w:val="2A012DF7"/>
    <w:rsid w:val="2A3E3AD4"/>
    <w:rsid w:val="2AE81265"/>
    <w:rsid w:val="2AFC4894"/>
    <w:rsid w:val="2B510BFE"/>
    <w:rsid w:val="2BBF64D8"/>
    <w:rsid w:val="2D1475EF"/>
    <w:rsid w:val="2D480265"/>
    <w:rsid w:val="2D977453"/>
    <w:rsid w:val="2DAB36F9"/>
    <w:rsid w:val="2DF0115E"/>
    <w:rsid w:val="2EAE0EE3"/>
    <w:rsid w:val="2EF22236"/>
    <w:rsid w:val="2F523F02"/>
    <w:rsid w:val="2F934735"/>
    <w:rsid w:val="30AA7F96"/>
    <w:rsid w:val="313E13DC"/>
    <w:rsid w:val="32691F67"/>
    <w:rsid w:val="339050D2"/>
    <w:rsid w:val="339506FA"/>
    <w:rsid w:val="343616AC"/>
    <w:rsid w:val="35AE5460"/>
    <w:rsid w:val="36770599"/>
    <w:rsid w:val="36C2370F"/>
    <w:rsid w:val="36E43D90"/>
    <w:rsid w:val="38413EAB"/>
    <w:rsid w:val="387A42F8"/>
    <w:rsid w:val="38C85433"/>
    <w:rsid w:val="39792C7B"/>
    <w:rsid w:val="39B2664F"/>
    <w:rsid w:val="39DC5129"/>
    <w:rsid w:val="3BCE4916"/>
    <w:rsid w:val="3BFB2CC8"/>
    <w:rsid w:val="3C8313CE"/>
    <w:rsid w:val="3D052A65"/>
    <w:rsid w:val="3D836A25"/>
    <w:rsid w:val="3DB96272"/>
    <w:rsid w:val="3DC136CA"/>
    <w:rsid w:val="3DED5E21"/>
    <w:rsid w:val="3E392E53"/>
    <w:rsid w:val="3E431C7F"/>
    <w:rsid w:val="3EC3636E"/>
    <w:rsid w:val="3F331180"/>
    <w:rsid w:val="3F7A14C5"/>
    <w:rsid w:val="3FDF4D23"/>
    <w:rsid w:val="404B3CF8"/>
    <w:rsid w:val="41A448CE"/>
    <w:rsid w:val="41D87631"/>
    <w:rsid w:val="425E3CB0"/>
    <w:rsid w:val="4260250D"/>
    <w:rsid w:val="42C31DFA"/>
    <w:rsid w:val="42D86B9A"/>
    <w:rsid w:val="4332255D"/>
    <w:rsid w:val="43670135"/>
    <w:rsid w:val="43C139B0"/>
    <w:rsid w:val="43C26223"/>
    <w:rsid w:val="43C2728A"/>
    <w:rsid w:val="43D8307E"/>
    <w:rsid w:val="44087755"/>
    <w:rsid w:val="453F002B"/>
    <w:rsid w:val="45E303BE"/>
    <w:rsid w:val="45FB0620"/>
    <w:rsid w:val="46CE3131"/>
    <w:rsid w:val="46EF4881"/>
    <w:rsid w:val="477A4943"/>
    <w:rsid w:val="483B375C"/>
    <w:rsid w:val="484A1643"/>
    <w:rsid w:val="48DB776B"/>
    <w:rsid w:val="4901308E"/>
    <w:rsid w:val="494F7907"/>
    <w:rsid w:val="49671CAE"/>
    <w:rsid w:val="49920620"/>
    <w:rsid w:val="4A172C6E"/>
    <w:rsid w:val="4A1A0B25"/>
    <w:rsid w:val="4A442C9A"/>
    <w:rsid w:val="4A7E670B"/>
    <w:rsid w:val="4B355560"/>
    <w:rsid w:val="4B714382"/>
    <w:rsid w:val="4B9C67B2"/>
    <w:rsid w:val="4BAE0C16"/>
    <w:rsid w:val="4BCC6453"/>
    <w:rsid w:val="4C0055E5"/>
    <w:rsid w:val="4C3677AE"/>
    <w:rsid w:val="4C706B3A"/>
    <w:rsid w:val="4CA66B82"/>
    <w:rsid w:val="4CD77853"/>
    <w:rsid w:val="4CED5B60"/>
    <w:rsid w:val="4D3C4AB0"/>
    <w:rsid w:val="4DC43470"/>
    <w:rsid w:val="4E555228"/>
    <w:rsid w:val="4E83141B"/>
    <w:rsid w:val="503010A0"/>
    <w:rsid w:val="50A85122"/>
    <w:rsid w:val="514F216F"/>
    <w:rsid w:val="518D640B"/>
    <w:rsid w:val="519E5CB8"/>
    <w:rsid w:val="51C15CED"/>
    <w:rsid w:val="51D8715C"/>
    <w:rsid w:val="52285DEB"/>
    <w:rsid w:val="52323FBF"/>
    <w:rsid w:val="52AD62F0"/>
    <w:rsid w:val="52F601D7"/>
    <w:rsid w:val="53142DCA"/>
    <w:rsid w:val="536D6093"/>
    <w:rsid w:val="53B53ABB"/>
    <w:rsid w:val="53F52485"/>
    <w:rsid w:val="53FC45AF"/>
    <w:rsid w:val="546308FE"/>
    <w:rsid w:val="548B704F"/>
    <w:rsid w:val="55EC1143"/>
    <w:rsid w:val="569618FC"/>
    <w:rsid w:val="56C16C1F"/>
    <w:rsid w:val="56F01470"/>
    <w:rsid w:val="56FD3D88"/>
    <w:rsid w:val="576553FC"/>
    <w:rsid w:val="57883699"/>
    <w:rsid w:val="579D737D"/>
    <w:rsid w:val="57F52036"/>
    <w:rsid w:val="5821015C"/>
    <w:rsid w:val="586947E9"/>
    <w:rsid w:val="58815AB8"/>
    <w:rsid w:val="590C2535"/>
    <w:rsid w:val="590D7A2C"/>
    <w:rsid w:val="591A333C"/>
    <w:rsid w:val="59BB5454"/>
    <w:rsid w:val="59E02FDB"/>
    <w:rsid w:val="5A5407A8"/>
    <w:rsid w:val="5B096606"/>
    <w:rsid w:val="5B8052B0"/>
    <w:rsid w:val="5BB80338"/>
    <w:rsid w:val="5BDF781D"/>
    <w:rsid w:val="5C930AF7"/>
    <w:rsid w:val="5CDB0A68"/>
    <w:rsid w:val="5D700371"/>
    <w:rsid w:val="5E3F6310"/>
    <w:rsid w:val="5EC21FF9"/>
    <w:rsid w:val="5F2346ED"/>
    <w:rsid w:val="5F935306"/>
    <w:rsid w:val="5F9C4467"/>
    <w:rsid w:val="6106666D"/>
    <w:rsid w:val="61086613"/>
    <w:rsid w:val="611F661C"/>
    <w:rsid w:val="614E1CA2"/>
    <w:rsid w:val="619E7881"/>
    <w:rsid w:val="623A5F0E"/>
    <w:rsid w:val="627123FE"/>
    <w:rsid w:val="62F9098D"/>
    <w:rsid w:val="632258CE"/>
    <w:rsid w:val="634E403A"/>
    <w:rsid w:val="63FD3B01"/>
    <w:rsid w:val="64020BC1"/>
    <w:rsid w:val="6408782B"/>
    <w:rsid w:val="64324F8E"/>
    <w:rsid w:val="64A66073"/>
    <w:rsid w:val="64C26826"/>
    <w:rsid w:val="65322CBF"/>
    <w:rsid w:val="65EF422A"/>
    <w:rsid w:val="67B0056C"/>
    <w:rsid w:val="68CC52CB"/>
    <w:rsid w:val="68DE4FFE"/>
    <w:rsid w:val="690344EE"/>
    <w:rsid w:val="692E3D8E"/>
    <w:rsid w:val="694B58D7"/>
    <w:rsid w:val="69942885"/>
    <w:rsid w:val="69CE4E15"/>
    <w:rsid w:val="6A202466"/>
    <w:rsid w:val="6B1E2FC2"/>
    <w:rsid w:val="6B7F3246"/>
    <w:rsid w:val="6C420F09"/>
    <w:rsid w:val="6C424B0E"/>
    <w:rsid w:val="6EEC48C0"/>
    <w:rsid w:val="6EF07839"/>
    <w:rsid w:val="6F63000B"/>
    <w:rsid w:val="6FA867D4"/>
    <w:rsid w:val="71ED4955"/>
    <w:rsid w:val="7249356B"/>
    <w:rsid w:val="72B56DCF"/>
    <w:rsid w:val="74D54EAB"/>
    <w:rsid w:val="74EE44EE"/>
    <w:rsid w:val="75604DAC"/>
    <w:rsid w:val="75B570E6"/>
    <w:rsid w:val="76695FBE"/>
    <w:rsid w:val="7735716F"/>
    <w:rsid w:val="77CD125A"/>
    <w:rsid w:val="780A1873"/>
    <w:rsid w:val="787D11B8"/>
    <w:rsid w:val="78E850B2"/>
    <w:rsid w:val="790A05A1"/>
    <w:rsid w:val="79132FDF"/>
    <w:rsid w:val="792C5912"/>
    <w:rsid w:val="79777A42"/>
    <w:rsid w:val="7A09535E"/>
    <w:rsid w:val="7B1241A3"/>
    <w:rsid w:val="7B336ECC"/>
    <w:rsid w:val="7B963970"/>
    <w:rsid w:val="7CA17CEF"/>
    <w:rsid w:val="7CB5721D"/>
    <w:rsid w:val="7DC00C6D"/>
    <w:rsid w:val="7DD13335"/>
    <w:rsid w:val="7E8B30DA"/>
    <w:rsid w:val="7EB61FE7"/>
    <w:rsid w:val="7F7835C6"/>
    <w:rsid w:val="7F7E0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2025-10-13T10:46:43Z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D98096944DD04D99BB376C05D7AB49F5</vt:lpwstr>
  </property>
</Properties>
</file>